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2D7B5">
      <w:pPr>
        <w:keepNext w:val="0"/>
        <w:keepLines w:val="0"/>
        <w:pageBreakBefore w:val="0"/>
        <w:wordWrap/>
        <w:topLinePunct w:val="0"/>
        <w:bidi w:val="0"/>
        <w:spacing w:line="560" w:lineRule="exact"/>
        <w:ind w:left="630" w:leftChars="300" w:right="630" w:rightChars="300" w:firstLine="880" w:firstLineChars="200"/>
        <w:rPr>
          <w:rFonts w:hint="default" w:ascii="Times New Roman" w:hAnsi="Times New Roman" w:eastAsia="方正仿宋_GBK" w:cs="Times New Roman"/>
          <w:sz w:val="44"/>
          <w:szCs w:val="44"/>
          <w:lang w:bidi="zh-CN"/>
        </w:rPr>
      </w:pPr>
    </w:p>
    <w:p w14:paraId="7C513156">
      <w:pPr>
        <w:keepNext w:val="0"/>
        <w:keepLines w:val="0"/>
        <w:pageBreakBefore w:val="0"/>
        <w:wordWrap/>
        <w:topLinePunct w:val="0"/>
        <w:bidi w:val="0"/>
        <w:spacing w:line="560" w:lineRule="exact"/>
        <w:ind w:right="630" w:rightChars="300"/>
        <w:jc w:val="both"/>
        <w:rPr>
          <w:rFonts w:hint="default" w:ascii="Times New Roman" w:hAnsi="Times New Roman" w:eastAsia="方正仿宋_GBK" w:cs="Times New Roman"/>
          <w:spacing w:val="-6"/>
          <w:sz w:val="44"/>
          <w:szCs w:val="44"/>
          <w:lang w:bidi="zh-CN"/>
        </w:rPr>
      </w:pPr>
    </w:p>
    <w:p w14:paraId="674EDCEB">
      <w:pPr>
        <w:keepNext w:val="0"/>
        <w:keepLines w:val="0"/>
        <w:pageBreakBefore w:val="0"/>
        <w:wordWrap/>
        <w:topLinePunct w:val="0"/>
        <w:bidi w:val="0"/>
        <w:spacing w:line="560" w:lineRule="exact"/>
        <w:ind w:right="630" w:rightChars="300"/>
        <w:jc w:val="center"/>
        <w:rPr>
          <w:rFonts w:hint="default" w:ascii="Times New Roman" w:hAnsi="Times New Roman" w:eastAsia="方正仿宋_GBK" w:cs="Times New Roman"/>
          <w:sz w:val="48"/>
          <w:szCs w:val="48"/>
          <w:lang w:bidi="zh-CN"/>
        </w:rPr>
      </w:pPr>
      <w:r>
        <w:rPr>
          <w:rFonts w:hint="default" w:ascii="Times New Roman" w:hAnsi="Times New Roman" w:eastAsia="方正仿宋_GBK" w:cs="Times New Roman"/>
          <w:spacing w:val="-6"/>
          <w:sz w:val="48"/>
          <w:szCs w:val="48"/>
          <w:lang w:bidi="zh-CN"/>
        </w:rPr>
        <w:t>20</w:t>
      </w:r>
      <w:r>
        <w:rPr>
          <w:rFonts w:hint="default" w:ascii="Times New Roman" w:hAnsi="Times New Roman" w:eastAsia="方正仿宋_GBK" w:cs="Times New Roman"/>
          <w:spacing w:val="-6"/>
          <w:sz w:val="48"/>
          <w:szCs w:val="48"/>
        </w:rPr>
        <w:t>2</w:t>
      </w:r>
      <w:r>
        <w:rPr>
          <w:rFonts w:hint="default" w:ascii="Times New Roman" w:hAnsi="Times New Roman" w:eastAsia="方正仿宋_GBK" w:cs="Times New Roman"/>
          <w:spacing w:val="-6"/>
          <w:sz w:val="48"/>
          <w:szCs w:val="48"/>
          <w:lang w:val="en-US" w:eastAsia="zh-CN"/>
        </w:rPr>
        <w:t>4</w:t>
      </w:r>
      <w:r>
        <w:rPr>
          <w:rFonts w:hint="default" w:ascii="Times New Roman" w:hAnsi="Times New Roman" w:eastAsia="方正仿宋_GBK" w:cs="Times New Roman"/>
          <w:spacing w:val="-6"/>
          <w:sz w:val="48"/>
          <w:szCs w:val="48"/>
          <w:lang w:bidi="zh-CN"/>
        </w:rPr>
        <w:t>年度部门整体绩效自评价报告</w:t>
      </w:r>
    </w:p>
    <w:p w14:paraId="5485090F">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4911FE81">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42488690">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44066FBE">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286DB2F0">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77F9CCBA">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6DA06AF5">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12F20AC7">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4B21AAB0">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00F69F2B">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7CD2F5F9">
      <w:pPr>
        <w:keepNext w:val="0"/>
        <w:keepLines w:val="0"/>
        <w:pageBreakBefore w:val="0"/>
        <w:wordWrap/>
        <w:topLinePunct w:val="0"/>
        <w:bidi w:val="0"/>
        <w:spacing w:line="560" w:lineRule="exact"/>
        <w:ind w:left="630" w:leftChars="300" w:right="630" w:rightChars="300" w:firstLine="420" w:firstLineChars="200"/>
        <w:rPr>
          <w:rFonts w:hint="default" w:ascii="Times New Roman" w:hAnsi="Times New Roman" w:eastAsia="方正仿宋_GBK" w:cs="Times New Roman"/>
          <w:lang w:bidi="zh-CN"/>
        </w:rPr>
      </w:pPr>
    </w:p>
    <w:p w14:paraId="2C0EB848">
      <w:pPr>
        <w:keepNext w:val="0"/>
        <w:keepLines w:val="0"/>
        <w:pageBreakBefore w:val="0"/>
        <w:widowControl/>
        <w:kinsoku w:val="0"/>
        <w:wordWrap/>
        <w:overflowPunct/>
        <w:topLinePunct w:val="0"/>
        <w:autoSpaceDE w:val="0"/>
        <w:autoSpaceDN w:val="0"/>
        <w:bidi w:val="0"/>
        <w:adjustRightInd w:val="0"/>
        <w:snapToGrid w:val="0"/>
        <w:spacing w:line="560" w:lineRule="exact"/>
        <w:ind w:left="630" w:leftChars="300" w:right="630" w:rightChars="300" w:firstLine="0" w:firstLineChars="0"/>
        <w:textAlignment w:val="baseline"/>
        <w:rPr>
          <w:rFonts w:hint="default" w:ascii="Times New Roman" w:hAnsi="Times New Roman" w:eastAsia="方正仿宋_GBK" w:cs="Times New Roman"/>
          <w:sz w:val="32"/>
          <w:szCs w:val="32"/>
          <w:lang w:bidi="zh-CN"/>
        </w:rPr>
      </w:pPr>
    </w:p>
    <w:p w14:paraId="56D5F4CD">
      <w:pPr>
        <w:keepNext w:val="0"/>
        <w:keepLines w:val="0"/>
        <w:pageBreakBefore w:val="0"/>
        <w:widowControl/>
        <w:kinsoku w:val="0"/>
        <w:wordWrap/>
        <w:overflowPunct/>
        <w:topLinePunct w:val="0"/>
        <w:autoSpaceDE w:val="0"/>
        <w:autoSpaceDN w:val="0"/>
        <w:bidi w:val="0"/>
        <w:adjustRightInd w:val="0"/>
        <w:snapToGrid w:val="0"/>
        <w:spacing w:line="560" w:lineRule="exact"/>
        <w:ind w:left="630" w:leftChars="300" w:right="630" w:rightChars="300" w:firstLine="0" w:firstLineChars="0"/>
        <w:jc w:val="center"/>
        <w:textAlignment w:val="baseline"/>
        <w:rPr>
          <w:rFonts w:hint="default" w:ascii="Times New Roman" w:hAnsi="Times New Roman" w:eastAsia="方正仿宋_GBK" w:cs="Times New Roman"/>
          <w:b w:val="0"/>
          <w:bCs w:val="0"/>
          <w:sz w:val="32"/>
          <w:szCs w:val="32"/>
          <w:lang w:bidi="zh-CN"/>
        </w:rPr>
      </w:pPr>
      <w:r>
        <w:rPr>
          <w:rFonts w:hint="default" w:ascii="Times New Roman" w:hAnsi="Times New Roman" w:eastAsia="方正仿宋_GBK" w:cs="Times New Roman"/>
          <w:b w:val="0"/>
          <w:bCs w:val="0"/>
          <w:sz w:val="32"/>
          <w:szCs w:val="32"/>
          <w:lang w:bidi="zh-CN"/>
        </w:rPr>
        <w:t>评价单位：南京市医疗保障综合服务中心</w:t>
      </w:r>
    </w:p>
    <w:p w14:paraId="0C77E162">
      <w:pPr>
        <w:keepNext w:val="0"/>
        <w:keepLines w:val="0"/>
        <w:pageBreakBefore w:val="0"/>
        <w:widowControl/>
        <w:kinsoku w:val="0"/>
        <w:wordWrap/>
        <w:overflowPunct/>
        <w:topLinePunct w:val="0"/>
        <w:autoSpaceDE w:val="0"/>
        <w:autoSpaceDN w:val="0"/>
        <w:bidi w:val="0"/>
        <w:adjustRightInd w:val="0"/>
        <w:snapToGrid w:val="0"/>
        <w:spacing w:line="560" w:lineRule="exact"/>
        <w:ind w:right="630" w:rightChars="300"/>
        <w:jc w:val="both"/>
        <w:textAlignment w:val="baseline"/>
        <w:rPr>
          <w:rFonts w:hint="default" w:ascii="Times New Roman" w:hAnsi="Times New Roman" w:eastAsia="方正仿宋_GBK" w:cs="Times New Roman"/>
          <w:b w:val="0"/>
          <w:bCs w:val="0"/>
          <w:sz w:val="32"/>
          <w:szCs w:val="32"/>
          <w:lang w:bidi="zh-CN"/>
        </w:rPr>
      </w:pPr>
    </w:p>
    <w:p w14:paraId="0F31A03D">
      <w:pPr>
        <w:keepNext w:val="0"/>
        <w:keepLines w:val="0"/>
        <w:pageBreakBefore w:val="0"/>
        <w:widowControl/>
        <w:kinsoku w:val="0"/>
        <w:wordWrap/>
        <w:overflowPunct/>
        <w:topLinePunct w:val="0"/>
        <w:autoSpaceDE w:val="0"/>
        <w:autoSpaceDN w:val="0"/>
        <w:bidi w:val="0"/>
        <w:adjustRightInd w:val="0"/>
        <w:snapToGrid w:val="0"/>
        <w:spacing w:line="560" w:lineRule="exact"/>
        <w:ind w:left="630" w:leftChars="300" w:right="630" w:rightChars="300" w:firstLine="0" w:firstLineChars="0"/>
        <w:jc w:val="center"/>
        <w:textAlignment w:val="baseline"/>
        <w:rPr>
          <w:rFonts w:hint="default" w:ascii="Times New Roman" w:hAnsi="Times New Roman" w:eastAsia="方正仿宋_GBK" w:cs="Times New Roman"/>
          <w:b w:val="0"/>
          <w:bCs w:val="0"/>
          <w:sz w:val="32"/>
          <w:szCs w:val="32"/>
          <w:lang w:bidi="zh-CN"/>
        </w:rPr>
      </w:pPr>
      <w:r>
        <w:rPr>
          <w:rFonts w:hint="default" w:ascii="Times New Roman" w:hAnsi="Times New Roman" w:eastAsia="方正仿宋_GBK" w:cs="Times New Roman"/>
          <w:b w:val="0"/>
          <w:bCs w:val="0"/>
          <w:sz w:val="32"/>
          <w:szCs w:val="32"/>
          <w:lang w:bidi="zh-CN"/>
        </w:rPr>
        <w:t>20</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bidi="zh-CN"/>
        </w:rPr>
        <w:t>年</w:t>
      </w:r>
      <w:r>
        <w:rPr>
          <w:rFonts w:hint="default" w:ascii="Times New Roman" w:hAnsi="Times New Roman" w:eastAsia="方正仿宋_GBK" w:cs="Times New Roman"/>
          <w:b w:val="0"/>
          <w:bCs w:val="0"/>
          <w:sz w:val="32"/>
          <w:szCs w:val="32"/>
          <w:lang w:val="en-US" w:bidi="zh-CN"/>
        </w:rPr>
        <w:t>7</w:t>
      </w:r>
      <w:r>
        <w:rPr>
          <w:rFonts w:hint="default" w:ascii="Times New Roman" w:hAnsi="Times New Roman" w:eastAsia="方正仿宋_GBK" w:cs="Times New Roman"/>
          <w:b w:val="0"/>
          <w:bCs w:val="0"/>
          <w:sz w:val="32"/>
          <w:szCs w:val="32"/>
          <w:lang w:bidi="zh-CN"/>
        </w:rPr>
        <w:t>月</w:t>
      </w:r>
    </w:p>
    <w:p w14:paraId="4A4D039C">
      <w:pPr>
        <w:keepNext w:val="0"/>
        <w:keepLines w:val="0"/>
        <w:pageBreakBefore w:val="0"/>
        <w:widowControl/>
        <w:kinsoku w:val="0"/>
        <w:wordWrap/>
        <w:overflowPunct/>
        <w:topLinePunct w:val="0"/>
        <w:autoSpaceDE w:val="0"/>
        <w:autoSpaceDN w:val="0"/>
        <w:bidi w:val="0"/>
        <w:adjustRightInd w:val="0"/>
        <w:snapToGrid w:val="0"/>
        <w:spacing w:line="560" w:lineRule="exact"/>
        <w:ind w:left="630" w:leftChars="300" w:right="630" w:rightChars="300" w:firstLine="0" w:firstLineChars="0"/>
        <w:jc w:val="center"/>
        <w:textAlignment w:val="baseline"/>
        <w:rPr>
          <w:rFonts w:hint="default" w:ascii="Times New Roman" w:hAnsi="Times New Roman" w:eastAsia="方正仿宋_GBK" w:cs="Times New Roman"/>
          <w:b w:val="0"/>
          <w:bCs w:val="0"/>
          <w:sz w:val="32"/>
          <w:szCs w:val="32"/>
          <w:lang w:bidi="zh-CN"/>
        </w:rPr>
        <w:sectPr>
          <w:headerReference r:id="rId3" w:type="default"/>
          <w:footerReference r:id="rId4" w:type="default"/>
          <w:pgSz w:w="11910" w:h="16840"/>
          <w:pgMar w:top="2098" w:right="1587" w:bottom="1701" w:left="1587" w:header="720" w:footer="1333" w:gutter="0"/>
          <w:pgNumType w:fmt="numberInDash" w:start="1"/>
          <w:cols w:space="720" w:num="1"/>
        </w:sectPr>
      </w:pPr>
    </w:p>
    <w:p w14:paraId="64E37BFB">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napToGrid/>
          <w:spacing w:val="-4"/>
          <w:kern w:val="2"/>
          <w:sz w:val="32"/>
          <w:szCs w:val="32"/>
        </w:rPr>
        <w:t>南京市医疗保障综合服务中心现对202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年度部门整体情况开展自查，对绩效目标完成情况和工作开展情况进行自评价，具体情况如下。</w:t>
      </w:r>
    </w:p>
    <w:p w14:paraId="30590FEC">
      <w:pPr>
        <w:keepNext w:val="0"/>
        <w:keepLines w:val="0"/>
        <w:pageBreakBefore w:val="0"/>
        <w:widowControl w:val="0"/>
        <w:numPr>
          <w:ilvl w:val="0"/>
          <w:numId w:val="1"/>
        </w:numPr>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单位概况</w:t>
      </w:r>
    </w:p>
    <w:p w14:paraId="3C862577">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（一）中心基本情况</w:t>
      </w:r>
    </w:p>
    <w:p w14:paraId="330CF344">
      <w:pPr>
        <w:keepNext w:val="0"/>
        <w:keepLines w:val="0"/>
        <w:pageBreakBefore w:val="0"/>
        <w:widowControl w:val="0"/>
        <w:kinsoku/>
        <w:wordWrap/>
        <w:overflowPunct w:val="0"/>
        <w:topLinePunct w:val="0"/>
        <w:autoSpaceDE/>
        <w:autoSpaceDN/>
        <w:bidi w:val="0"/>
        <w:snapToGrid/>
        <w:spacing w:line="560" w:lineRule="exact"/>
        <w:ind w:firstLine="600"/>
        <w:jc w:val="both"/>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南京市医疗保障综合服务中心（市医药集中采购保障中心）是南京市医疗保障局下属正处级公益一类全额拨款事业单位。2019年1月成立市医药集中采购保障中心，8月增挂市医药监测数据中心牌。2021年11月，划入原人社信息管理中心承担的基本医疗保险、生育保险相关信息服务职责，中心更名为市医疗保障综合服务中心，挂市医药集中采购保障中心牌，内设综合办公室、招标采购科、结算科、数据分析科、信息科、咨询科6个科室，截至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年年末，有在编人员16名，员额辅助人员30名。</w:t>
      </w:r>
    </w:p>
    <w:p w14:paraId="476ED0FC">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（二）中心主要职能</w:t>
      </w:r>
    </w:p>
    <w:p w14:paraId="5EBB0EBD">
      <w:pPr>
        <w:pStyle w:val="3"/>
        <w:keepNext w:val="0"/>
        <w:keepLines w:val="0"/>
        <w:pageBreakBefore w:val="0"/>
        <w:widowControl w:val="0"/>
        <w:wordWrap/>
        <w:topLinePunct w:val="0"/>
        <w:bidi w:val="0"/>
        <w:spacing w:line="560" w:lineRule="exact"/>
        <w:ind w:firstLine="658"/>
        <w:jc w:val="both"/>
        <w:rPr>
          <w:rFonts w:hint="default" w:ascii="Times New Roman" w:hAnsi="Times New Roman" w:eastAsia="方正仿宋_GBK" w:cs="Times New Roman"/>
          <w:bCs/>
          <w:snapToGrid/>
          <w:color w:val="000000"/>
          <w:spacing w:val="-4"/>
          <w:kern w:val="2"/>
          <w:sz w:val="32"/>
          <w:szCs w:val="32"/>
          <w:lang w:val="en-US" w:eastAsia="zh-CN" w:bidi="ar-SA"/>
        </w:rPr>
      </w:pPr>
      <w:r>
        <w:rPr>
          <w:rFonts w:hint="default" w:ascii="Times New Roman" w:hAnsi="Times New Roman" w:eastAsia="方正仿宋_GBK" w:cs="Times New Roman"/>
          <w:bCs/>
          <w:snapToGrid/>
          <w:color w:val="000000"/>
          <w:spacing w:val="-4"/>
          <w:kern w:val="2"/>
          <w:sz w:val="32"/>
          <w:szCs w:val="32"/>
          <w:lang w:val="en-US" w:eastAsia="zh-CN" w:bidi="ar-SA"/>
        </w:rPr>
        <w:t>南京市医疗保障综合服务中心（南京市医药集中采购保障中心）主要承担全市药品、医用耗材(试剂)等集中采购的组织实施工作</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组织开展药品、医用耗材(试剂)等集中采购的价格谈判工作</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承担全市药品、医用耗材(试剂)等集中结算、集中支付的组织实施工作</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承担本市医药集中采购监管平台的建设管理工作</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负责有关价格监测和信息管理等工作</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承担医疗保障领域信息系统建设维护职责</w:t>
      </w:r>
      <w:r>
        <w:rPr>
          <w:rFonts w:hint="eastAsia" w:ascii="Times New Roman" w:hAnsi="Times New Roman" w:eastAsia="方正仿宋_GBK" w:cs="Times New Roman"/>
          <w:bCs/>
          <w:snapToGrid/>
          <w:color w:val="000000"/>
          <w:spacing w:val="-4"/>
          <w:kern w:val="2"/>
          <w:sz w:val="32"/>
          <w:szCs w:val="32"/>
          <w:lang w:val="en-US" w:eastAsia="zh-CN" w:bidi="ar-SA"/>
        </w:rPr>
        <w:t>；</w:t>
      </w:r>
      <w:r>
        <w:rPr>
          <w:rFonts w:hint="default" w:ascii="Times New Roman" w:hAnsi="Times New Roman" w:eastAsia="方正仿宋_GBK" w:cs="Times New Roman"/>
          <w:bCs/>
          <w:snapToGrid/>
          <w:color w:val="000000"/>
          <w:spacing w:val="-4"/>
          <w:kern w:val="2"/>
          <w:sz w:val="32"/>
          <w:szCs w:val="32"/>
          <w:lang w:val="en-US" w:eastAsia="zh-CN" w:bidi="ar-SA"/>
        </w:rPr>
        <w:t>承担医疗保障政策咨询职责;承担市医疗保障局委托或交办的其他职责任务。</w:t>
      </w:r>
    </w:p>
    <w:p w14:paraId="75E98DC8">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二、中心收支情况</w:t>
      </w:r>
    </w:p>
    <w:p w14:paraId="4F842DD4">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（一）收入支出预算安排情况</w:t>
      </w:r>
    </w:p>
    <w:p w14:paraId="2FB9B443">
      <w:pPr>
        <w:keepNext w:val="0"/>
        <w:keepLines w:val="0"/>
        <w:pageBreakBefore w:val="0"/>
        <w:wordWrap/>
        <w:topLinePunct w:val="0"/>
        <w:bidi w:val="0"/>
        <w:spacing w:line="560" w:lineRule="exact"/>
        <w:ind w:firstLine="624" w:firstLineChars="200"/>
        <w:jc w:val="both"/>
        <w:rPr>
          <w:rFonts w:hint="default" w:ascii="Times New Roman" w:hAnsi="Times New Roman" w:eastAsia="方正仿宋_GBK" w:cs="Times New Roman"/>
          <w:bCs/>
          <w:snapToGrid/>
          <w:color w:val="000000"/>
          <w:spacing w:val="-4"/>
          <w:kern w:val="2"/>
          <w:sz w:val="32"/>
          <w:szCs w:val="32"/>
          <w:lang w:val="en-US" w:eastAsia="zh-CN" w:bidi="ar-SA"/>
        </w:rPr>
      </w:pPr>
      <w:r>
        <w:rPr>
          <w:rFonts w:hint="default" w:ascii="Times New Roman" w:hAnsi="Times New Roman" w:eastAsia="方正仿宋_GBK" w:cs="Times New Roman"/>
          <w:bCs/>
          <w:snapToGrid/>
          <w:color w:val="000000"/>
          <w:spacing w:val="-4"/>
          <w:kern w:val="2"/>
          <w:sz w:val="32"/>
          <w:szCs w:val="32"/>
          <w:lang w:val="en-US" w:eastAsia="zh-CN" w:bidi="ar-SA"/>
        </w:rPr>
        <w:t>2024年度预算收入1764.10万元（基本收入1241.40万元，项目收入522.70万元），本年支出1782.77万元（基本支出709.66万元，项目收入1067.07万元）。</w:t>
      </w:r>
    </w:p>
    <w:p w14:paraId="7EA4F9D8">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（二）收入支出预算执行情况</w:t>
      </w:r>
    </w:p>
    <w:p w14:paraId="42F75F0D">
      <w:pPr>
        <w:keepNext w:val="0"/>
        <w:keepLines w:val="0"/>
        <w:pageBreakBefore w:val="0"/>
        <w:wordWrap/>
        <w:topLinePunct w:val="0"/>
        <w:bidi w:val="0"/>
        <w:spacing w:line="56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1．收入支出与预算对比分析</w:t>
      </w:r>
    </w:p>
    <w:p w14:paraId="72772391">
      <w:pPr>
        <w:keepNext w:val="0"/>
        <w:keepLines w:val="0"/>
        <w:pageBreakBefore w:val="0"/>
        <w:wordWrap/>
        <w:topLinePunct w:val="0"/>
        <w:bidi w:val="0"/>
        <w:spacing w:line="560" w:lineRule="exact"/>
        <w:ind w:firstLine="624" w:firstLineChars="200"/>
        <w:jc w:val="both"/>
        <w:rPr>
          <w:rFonts w:hint="default" w:ascii="Times New Roman" w:hAnsi="Times New Roman" w:eastAsia="方正仿宋_GBK" w:cs="Times New Roman"/>
          <w:bCs/>
          <w:snapToGrid/>
          <w:color w:val="000000"/>
          <w:spacing w:val="-4"/>
          <w:kern w:val="2"/>
          <w:sz w:val="32"/>
          <w:szCs w:val="32"/>
          <w:lang w:val="en-US" w:eastAsia="zh-CN" w:bidi="ar-SA"/>
        </w:rPr>
      </w:pPr>
      <w:r>
        <w:rPr>
          <w:rFonts w:hint="default" w:ascii="Times New Roman" w:hAnsi="Times New Roman" w:eastAsia="方正仿宋_GBK" w:cs="Times New Roman"/>
          <w:bCs/>
          <w:snapToGrid/>
          <w:color w:val="000000"/>
          <w:spacing w:val="-4"/>
          <w:kern w:val="2"/>
          <w:sz w:val="32"/>
          <w:szCs w:val="32"/>
          <w:lang w:val="en-US" w:eastAsia="zh-CN" w:bidi="ar-SA"/>
        </w:rPr>
        <w:t>2024年实际预算收入1776.73万元，较上年增加568.81万元。</w:t>
      </w:r>
    </w:p>
    <w:tbl>
      <w:tblPr>
        <w:tblStyle w:val="9"/>
        <w:tblW w:w="8463" w:type="dxa"/>
        <w:tblInd w:w="0" w:type="dxa"/>
        <w:tblLayout w:type="fixed"/>
        <w:tblCellMar>
          <w:top w:w="0" w:type="dxa"/>
          <w:left w:w="0" w:type="dxa"/>
          <w:bottom w:w="0" w:type="dxa"/>
          <w:right w:w="0" w:type="dxa"/>
        </w:tblCellMar>
      </w:tblPr>
      <w:tblGrid>
        <w:gridCol w:w="770"/>
        <w:gridCol w:w="1397"/>
        <w:gridCol w:w="1068"/>
        <w:gridCol w:w="1056"/>
        <w:gridCol w:w="948"/>
        <w:gridCol w:w="1032"/>
        <w:gridCol w:w="1176"/>
        <w:gridCol w:w="1016"/>
      </w:tblGrid>
      <w:tr w14:paraId="126C08CB">
        <w:tblPrEx>
          <w:tblCellMar>
            <w:top w:w="0" w:type="dxa"/>
            <w:left w:w="0" w:type="dxa"/>
            <w:bottom w:w="0" w:type="dxa"/>
            <w:right w:w="0" w:type="dxa"/>
          </w:tblCellMar>
        </w:tblPrEx>
        <w:trPr>
          <w:trHeight w:val="405" w:hRule="atLeast"/>
        </w:trPr>
        <w:tc>
          <w:tcPr>
            <w:tcW w:w="77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6BC6E6">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序号</w:t>
            </w:r>
          </w:p>
        </w:tc>
        <w:tc>
          <w:tcPr>
            <w:tcW w:w="139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9F1C22">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单位及项目</w:t>
            </w:r>
          </w:p>
        </w:tc>
        <w:tc>
          <w:tcPr>
            <w:tcW w:w="3072"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5E7531">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预算资金</w:t>
            </w:r>
          </w:p>
        </w:tc>
        <w:tc>
          <w:tcPr>
            <w:tcW w:w="103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A5A457">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合计</w:t>
            </w:r>
          </w:p>
        </w:tc>
        <w:tc>
          <w:tcPr>
            <w:tcW w:w="1176"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3C66D15">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lang w:bidi="ar"/>
              </w:rPr>
            </w:pPr>
            <w:r>
              <w:rPr>
                <w:rFonts w:hint="default" w:ascii="Times New Roman" w:hAnsi="Times New Roman" w:eastAsia="方正仿宋_GBK" w:cs="Times New Roman"/>
                <w:kern w:val="0"/>
                <w:sz w:val="20"/>
                <w:szCs w:val="20"/>
                <w:lang w:bidi="ar"/>
              </w:rPr>
              <w:t>实际执行数</w:t>
            </w:r>
          </w:p>
        </w:tc>
        <w:tc>
          <w:tcPr>
            <w:tcW w:w="1016"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1E57B26">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lang w:bidi="ar"/>
              </w:rPr>
            </w:pPr>
            <w:r>
              <w:rPr>
                <w:rFonts w:hint="default" w:ascii="Times New Roman" w:hAnsi="Times New Roman" w:eastAsia="方正仿宋_GBK" w:cs="Times New Roman"/>
                <w:kern w:val="0"/>
                <w:sz w:val="20"/>
                <w:szCs w:val="20"/>
                <w:lang w:bidi="ar"/>
              </w:rPr>
              <w:t>上年决算执行数</w:t>
            </w:r>
          </w:p>
        </w:tc>
      </w:tr>
      <w:tr w14:paraId="1C7437C6">
        <w:tblPrEx>
          <w:tblCellMar>
            <w:top w:w="0" w:type="dxa"/>
            <w:left w:w="0" w:type="dxa"/>
            <w:bottom w:w="0" w:type="dxa"/>
            <w:right w:w="0" w:type="dxa"/>
          </w:tblCellMar>
        </w:tblPrEx>
        <w:trPr>
          <w:trHeight w:val="525" w:hRule="atLeast"/>
        </w:trPr>
        <w:tc>
          <w:tcPr>
            <w:tcW w:w="77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B230B1">
            <w:pPr>
              <w:keepNext w:val="0"/>
              <w:keepLines w:val="0"/>
              <w:pageBreakBefore w:val="0"/>
              <w:wordWrap/>
              <w:topLinePunct w:val="0"/>
              <w:bidi w:val="0"/>
              <w:spacing w:line="560" w:lineRule="exact"/>
              <w:jc w:val="center"/>
              <w:rPr>
                <w:rFonts w:hint="default" w:ascii="Times New Roman" w:hAnsi="Times New Roman" w:eastAsia="方正仿宋_GBK" w:cs="Times New Roman"/>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68ABBE">
            <w:pPr>
              <w:keepNext w:val="0"/>
              <w:keepLines w:val="0"/>
              <w:pageBreakBefore w:val="0"/>
              <w:wordWrap/>
              <w:topLinePunct w:val="0"/>
              <w:bidi w:val="0"/>
              <w:spacing w:line="560" w:lineRule="exact"/>
              <w:jc w:val="center"/>
              <w:rPr>
                <w:rFonts w:hint="default" w:ascii="Times New Roman" w:hAnsi="Times New Roman" w:eastAsia="方正仿宋_GBK" w:cs="Times New Roman"/>
                <w:sz w:val="20"/>
                <w:szCs w:val="20"/>
              </w:rPr>
            </w:pPr>
          </w:p>
        </w:tc>
        <w:tc>
          <w:tcPr>
            <w:tcW w:w="10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6AFA9D0">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预算数</w:t>
            </w:r>
          </w:p>
        </w:tc>
        <w:tc>
          <w:tcPr>
            <w:tcW w:w="10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89C9799">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追加</w:t>
            </w:r>
          </w:p>
        </w:tc>
        <w:tc>
          <w:tcPr>
            <w:tcW w:w="9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14A610">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扣减</w:t>
            </w:r>
          </w:p>
        </w:tc>
        <w:tc>
          <w:tcPr>
            <w:tcW w:w="103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B6F461">
            <w:pPr>
              <w:keepNext w:val="0"/>
              <w:keepLines w:val="0"/>
              <w:pageBreakBefore w:val="0"/>
              <w:wordWrap/>
              <w:topLinePunct w:val="0"/>
              <w:bidi w:val="0"/>
              <w:spacing w:line="560" w:lineRule="exact"/>
              <w:jc w:val="center"/>
              <w:rPr>
                <w:rFonts w:hint="default" w:ascii="Times New Roman" w:hAnsi="Times New Roman" w:eastAsia="方正仿宋_GBK" w:cs="Times New Roman"/>
                <w:sz w:val="20"/>
                <w:szCs w:val="20"/>
              </w:rPr>
            </w:pPr>
          </w:p>
        </w:tc>
        <w:tc>
          <w:tcPr>
            <w:tcW w:w="1176"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EAFB0AD">
            <w:pPr>
              <w:keepNext w:val="0"/>
              <w:keepLines w:val="0"/>
              <w:pageBreakBefore w:val="0"/>
              <w:wordWrap/>
              <w:topLinePunct w:val="0"/>
              <w:bidi w:val="0"/>
              <w:spacing w:line="560" w:lineRule="exact"/>
              <w:jc w:val="center"/>
              <w:rPr>
                <w:rFonts w:hint="default" w:ascii="Times New Roman" w:hAnsi="Times New Roman" w:eastAsia="方正仿宋_GBK" w:cs="Times New Roman"/>
                <w:sz w:val="20"/>
                <w:szCs w:val="20"/>
              </w:rPr>
            </w:pPr>
          </w:p>
        </w:tc>
        <w:tc>
          <w:tcPr>
            <w:tcW w:w="1016"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004AB01">
            <w:pPr>
              <w:keepNext w:val="0"/>
              <w:keepLines w:val="0"/>
              <w:pageBreakBefore w:val="0"/>
              <w:wordWrap/>
              <w:topLinePunct w:val="0"/>
              <w:bidi w:val="0"/>
              <w:spacing w:line="560" w:lineRule="exact"/>
              <w:jc w:val="center"/>
              <w:rPr>
                <w:rFonts w:hint="default" w:ascii="Times New Roman" w:hAnsi="Times New Roman" w:eastAsia="方正仿宋_GBK" w:cs="Times New Roman"/>
                <w:sz w:val="20"/>
                <w:szCs w:val="20"/>
              </w:rPr>
            </w:pPr>
          </w:p>
        </w:tc>
      </w:tr>
      <w:tr w14:paraId="404EBCE5">
        <w:tblPrEx>
          <w:tblCellMar>
            <w:top w:w="0" w:type="dxa"/>
            <w:left w:w="0" w:type="dxa"/>
            <w:bottom w:w="0" w:type="dxa"/>
            <w:right w:w="0"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332550">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一</w:t>
            </w:r>
          </w:p>
        </w:tc>
        <w:tc>
          <w:tcPr>
            <w:tcW w:w="13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18104B">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部门预算</w:t>
            </w:r>
          </w:p>
        </w:tc>
        <w:tc>
          <w:tcPr>
            <w:tcW w:w="10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B8633C">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p>
        </w:tc>
        <w:tc>
          <w:tcPr>
            <w:tcW w:w="10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735FE9">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p>
        </w:tc>
        <w:tc>
          <w:tcPr>
            <w:tcW w:w="9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1B8D98">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p>
        </w:tc>
        <w:tc>
          <w:tcPr>
            <w:tcW w:w="10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296831">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p>
        </w:tc>
        <w:tc>
          <w:tcPr>
            <w:tcW w:w="11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11C561">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bidi="ar"/>
              </w:rPr>
            </w:pPr>
          </w:p>
        </w:tc>
        <w:tc>
          <w:tcPr>
            <w:tcW w:w="10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DAC89C">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bidi="ar"/>
              </w:rPr>
            </w:pPr>
          </w:p>
        </w:tc>
      </w:tr>
      <w:tr w14:paraId="6690D098">
        <w:tblPrEx>
          <w:tblCellMar>
            <w:top w:w="0" w:type="dxa"/>
            <w:left w:w="0" w:type="dxa"/>
            <w:bottom w:w="0" w:type="dxa"/>
            <w:right w:w="0"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5CE99F">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（一）</w:t>
            </w:r>
          </w:p>
        </w:tc>
        <w:tc>
          <w:tcPr>
            <w:tcW w:w="13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3F85C2">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基本支出</w:t>
            </w:r>
          </w:p>
        </w:tc>
        <w:tc>
          <w:tcPr>
            <w:tcW w:w="10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9561AC">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710.52</w:t>
            </w:r>
          </w:p>
        </w:tc>
        <w:tc>
          <w:tcPr>
            <w:tcW w:w="10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8D1883">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9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ECE5A8">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0.86</w:t>
            </w:r>
          </w:p>
        </w:tc>
        <w:tc>
          <w:tcPr>
            <w:tcW w:w="10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7403C8">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715.69</w:t>
            </w:r>
          </w:p>
        </w:tc>
        <w:tc>
          <w:tcPr>
            <w:tcW w:w="11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996827">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rPr>
              <w:t>715.69</w:t>
            </w:r>
          </w:p>
        </w:tc>
        <w:tc>
          <w:tcPr>
            <w:tcW w:w="10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9D63DF">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val="en-US" w:eastAsia="zh-CN" w:bidi="ar"/>
              </w:rPr>
            </w:pPr>
            <w:r>
              <w:rPr>
                <w:rFonts w:hint="default" w:ascii="Times New Roman" w:hAnsi="Times New Roman" w:eastAsia="方正仿宋_GBK" w:cs="Times New Roman"/>
                <w:sz w:val="20"/>
                <w:szCs w:val="20"/>
              </w:rPr>
              <w:t>712.40</w:t>
            </w:r>
          </w:p>
        </w:tc>
      </w:tr>
      <w:tr w14:paraId="01D6057A">
        <w:tblPrEx>
          <w:tblCellMar>
            <w:top w:w="0" w:type="dxa"/>
            <w:left w:w="0" w:type="dxa"/>
            <w:bottom w:w="0" w:type="dxa"/>
            <w:right w:w="0"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8E3EB9">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（二）</w:t>
            </w:r>
          </w:p>
        </w:tc>
        <w:tc>
          <w:tcPr>
            <w:tcW w:w="13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EE5C5C">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项目支出</w:t>
            </w:r>
          </w:p>
        </w:tc>
        <w:tc>
          <w:tcPr>
            <w:tcW w:w="10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BBA05E">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1196.10</w:t>
            </w:r>
          </w:p>
        </w:tc>
        <w:tc>
          <w:tcPr>
            <w:tcW w:w="105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35D0302">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9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058CEE">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129.03</w:t>
            </w:r>
          </w:p>
        </w:tc>
        <w:tc>
          <w:tcPr>
            <w:tcW w:w="10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BE7053">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1067.07</w:t>
            </w:r>
          </w:p>
        </w:tc>
        <w:tc>
          <w:tcPr>
            <w:tcW w:w="11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AB1642">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rPr>
              <w:t>1067.07</w:t>
            </w:r>
          </w:p>
        </w:tc>
        <w:tc>
          <w:tcPr>
            <w:tcW w:w="101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2B919D">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val="en-US" w:eastAsia="zh-CN" w:bidi="ar"/>
              </w:rPr>
            </w:pPr>
            <w:r>
              <w:rPr>
                <w:rFonts w:hint="default" w:ascii="Times New Roman" w:hAnsi="Times New Roman" w:eastAsia="方正仿宋_GBK" w:cs="Times New Roman"/>
                <w:sz w:val="20"/>
                <w:szCs w:val="20"/>
              </w:rPr>
              <w:t>495.52</w:t>
            </w:r>
          </w:p>
        </w:tc>
      </w:tr>
      <w:tr w14:paraId="335C710D">
        <w:tblPrEx>
          <w:tblCellMar>
            <w:top w:w="0" w:type="dxa"/>
            <w:left w:w="0" w:type="dxa"/>
            <w:bottom w:w="0" w:type="dxa"/>
            <w:right w:w="0" w:type="dxa"/>
          </w:tblCellMar>
        </w:tblPrEx>
        <w:trPr>
          <w:trHeight w:val="600" w:hRule="atLeast"/>
        </w:trPr>
        <w:tc>
          <w:tcPr>
            <w:tcW w:w="2167" w:type="dxa"/>
            <w:gridSpan w:val="2"/>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0F92E231">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合计</w:t>
            </w:r>
          </w:p>
        </w:tc>
        <w:tc>
          <w:tcPr>
            <w:tcW w:w="1068"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4272316">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1906.62</w:t>
            </w:r>
          </w:p>
        </w:tc>
        <w:tc>
          <w:tcPr>
            <w:tcW w:w="1056"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3EED9A3">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948"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12DDE2B5">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129.89</w:t>
            </w:r>
          </w:p>
        </w:tc>
        <w:tc>
          <w:tcPr>
            <w:tcW w:w="1032"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FBFE0A9">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1782.77</w:t>
            </w:r>
          </w:p>
        </w:tc>
        <w:tc>
          <w:tcPr>
            <w:tcW w:w="1176"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2A3513CB">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lang w:val="en-US" w:eastAsia="zh-CN" w:bidi="ar"/>
              </w:rPr>
            </w:pPr>
            <w:r>
              <w:rPr>
                <w:rFonts w:hint="default" w:ascii="Times New Roman" w:hAnsi="Times New Roman" w:eastAsia="方正仿宋_GBK" w:cs="Times New Roman"/>
                <w:kern w:val="0"/>
                <w:sz w:val="20"/>
                <w:szCs w:val="20"/>
                <w:lang w:bidi="ar"/>
              </w:rPr>
              <w:t>1782.77</w:t>
            </w:r>
          </w:p>
        </w:tc>
        <w:tc>
          <w:tcPr>
            <w:tcW w:w="1016"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7E349B74">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1207.92</w:t>
            </w:r>
          </w:p>
        </w:tc>
      </w:tr>
    </w:tbl>
    <w:p w14:paraId="62AB0BFA">
      <w:pPr>
        <w:keepNext w:val="0"/>
        <w:keepLines w:val="0"/>
        <w:pageBreakBefore w:val="0"/>
        <w:wordWrap/>
        <w:topLinePunct w:val="0"/>
        <w:bidi w:val="0"/>
        <w:spacing w:line="560"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2．收入支出结构分析</w:t>
      </w:r>
    </w:p>
    <w:p w14:paraId="7B0F5577">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（1）2024年预算收入1764.10万元，其中基本收入经费1241.40万元，占总收入的70.37%；项目收入522.70万元，占总收入的29.63%。</w:t>
      </w:r>
    </w:p>
    <w:p w14:paraId="72FCE586">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2024年支出1782.77万元，其中基本支出715.69万元，占总支出的40.15%；项目支出1067.07万元，占总支出的59.85%。当年预算收入完成率为100%；当年预算支出完成率93.50%。</w:t>
      </w:r>
    </w:p>
    <w:tbl>
      <w:tblPr>
        <w:tblStyle w:val="9"/>
        <w:tblW w:w="8343" w:type="dxa"/>
        <w:tblInd w:w="0" w:type="dxa"/>
        <w:tblLayout w:type="fixed"/>
        <w:tblCellMar>
          <w:top w:w="0" w:type="dxa"/>
          <w:left w:w="0" w:type="dxa"/>
          <w:bottom w:w="0" w:type="dxa"/>
          <w:right w:w="0" w:type="dxa"/>
        </w:tblCellMar>
      </w:tblPr>
      <w:tblGrid>
        <w:gridCol w:w="960"/>
        <w:gridCol w:w="1339"/>
        <w:gridCol w:w="1619"/>
        <w:gridCol w:w="1575"/>
        <w:gridCol w:w="1485"/>
        <w:gridCol w:w="1365"/>
      </w:tblGrid>
      <w:tr w14:paraId="2784DF42">
        <w:tblPrEx>
          <w:tblCellMar>
            <w:top w:w="0" w:type="dxa"/>
            <w:left w:w="0" w:type="dxa"/>
            <w:bottom w:w="0" w:type="dxa"/>
            <w:right w:w="0" w:type="dxa"/>
          </w:tblCellMar>
        </w:tblPrEx>
        <w:trPr>
          <w:trHeight w:val="567" w:hRule="exact"/>
        </w:trPr>
        <w:tc>
          <w:tcPr>
            <w:tcW w:w="960" w:type="dxa"/>
            <w:tcBorders>
              <w:top w:val="single" w:color="000000" w:sz="8" w:space="0"/>
              <w:left w:val="single" w:color="000000" w:sz="8" w:space="0"/>
              <w:bottom w:val="single" w:color="000000" w:sz="4" w:space="0"/>
              <w:right w:val="single" w:color="000000" w:sz="4" w:space="0"/>
            </w:tcBorders>
            <w:noWrap/>
            <w:tcMar>
              <w:top w:w="12" w:type="dxa"/>
              <w:left w:w="12" w:type="dxa"/>
              <w:right w:w="12" w:type="dxa"/>
            </w:tcMar>
            <w:vAlign w:val="center"/>
          </w:tcPr>
          <w:p w14:paraId="6EEFF4F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339"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46B8248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w:t>
            </w:r>
          </w:p>
        </w:tc>
        <w:tc>
          <w:tcPr>
            <w:tcW w:w="1619"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38AE20B8">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年终核定数</w:t>
            </w:r>
          </w:p>
        </w:tc>
        <w:tc>
          <w:tcPr>
            <w:tcW w:w="1575"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5612DD8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实际执行数</w:t>
            </w:r>
          </w:p>
        </w:tc>
        <w:tc>
          <w:tcPr>
            <w:tcW w:w="1485"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3AE639DE">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执行进度</w:t>
            </w:r>
          </w:p>
        </w:tc>
        <w:tc>
          <w:tcPr>
            <w:tcW w:w="1365" w:type="dxa"/>
            <w:tcBorders>
              <w:top w:val="single" w:color="000000" w:sz="8" w:space="0"/>
              <w:left w:val="single" w:color="000000" w:sz="4" w:space="0"/>
              <w:bottom w:val="single" w:color="000000" w:sz="4" w:space="0"/>
              <w:right w:val="single" w:color="000000" w:sz="8" w:space="0"/>
            </w:tcBorders>
            <w:noWrap/>
            <w:tcMar>
              <w:top w:w="12" w:type="dxa"/>
              <w:left w:w="12" w:type="dxa"/>
              <w:right w:w="12" w:type="dxa"/>
            </w:tcMar>
            <w:vAlign w:val="center"/>
          </w:tcPr>
          <w:p w14:paraId="0AC7908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占总支出比例</w:t>
            </w:r>
          </w:p>
        </w:tc>
      </w:tr>
      <w:tr w14:paraId="4B633B0C">
        <w:tblPrEx>
          <w:tblCellMar>
            <w:top w:w="0" w:type="dxa"/>
            <w:left w:w="0" w:type="dxa"/>
            <w:bottom w:w="0" w:type="dxa"/>
            <w:right w:w="0" w:type="dxa"/>
          </w:tblCellMar>
        </w:tblPrEx>
        <w:trPr>
          <w:trHeight w:val="567" w:hRule="exact"/>
        </w:trPr>
        <w:tc>
          <w:tcPr>
            <w:tcW w:w="96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1E009814">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p>
        </w:tc>
        <w:tc>
          <w:tcPr>
            <w:tcW w:w="13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D10462">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w:t>
            </w:r>
          </w:p>
        </w:tc>
        <w:tc>
          <w:tcPr>
            <w:tcW w:w="1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213DC6">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8D45F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p>
        </w:tc>
        <w:tc>
          <w:tcPr>
            <w:tcW w:w="1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8851D7">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p>
        </w:tc>
        <w:tc>
          <w:tcPr>
            <w:tcW w:w="136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76274DC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p>
        </w:tc>
      </w:tr>
      <w:tr w14:paraId="1FC5121B">
        <w:tblPrEx>
          <w:tblCellMar>
            <w:top w:w="0" w:type="dxa"/>
            <w:left w:w="0" w:type="dxa"/>
            <w:bottom w:w="0" w:type="dxa"/>
            <w:right w:w="0" w:type="dxa"/>
          </w:tblCellMar>
        </w:tblPrEx>
        <w:trPr>
          <w:trHeight w:val="567" w:hRule="exact"/>
        </w:trPr>
        <w:tc>
          <w:tcPr>
            <w:tcW w:w="96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3E21ACC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p>
        </w:tc>
        <w:tc>
          <w:tcPr>
            <w:tcW w:w="13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B7C67C">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基本支出</w:t>
            </w:r>
          </w:p>
        </w:tc>
        <w:tc>
          <w:tcPr>
            <w:tcW w:w="1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620DDD">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710.52</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229B4">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715.69</w:t>
            </w:r>
          </w:p>
        </w:tc>
        <w:tc>
          <w:tcPr>
            <w:tcW w:w="1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0D76D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100.73%</w:t>
            </w:r>
          </w:p>
        </w:tc>
        <w:tc>
          <w:tcPr>
            <w:tcW w:w="136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72B248C6">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40.15%</w:t>
            </w:r>
          </w:p>
        </w:tc>
      </w:tr>
      <w:tr w14:paraId="0E033FB9">
        <w:tblPrEx>
          <w:tblCellMar>
            <w:top w:w="0" w:type="dxa"/>
            <w:left w:w="0" w:type="dxa"/>
            <w:bottom w:w="0" w:type="dxa"/>
            <w:right w:w="0" w:type="dxa"/>
          </w:tblCellMar>
        </w:tblPrEx>
        <w:trPr>
          <w:trHeight w:val="567" w:hRule="exact"/>
        </w:trPr>
        <w:tc>
          <w:tcPr>
            <w:tcW w:w="96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573797EF">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p>
        </w:tc>
        <w:tc>
          <w:tcPr>
            <w:tcW w:w="13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ACCE2">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项目支出</w:t>
            </w:r>
          </w:p>
        </w:tc>
        <w:tc>
          <w:tcPr>
            <w:tcW w:w="16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320559">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1196.10</w:t>
            </w:r>
          </w:p>
        </w:tc>
        <w:tc>
          <w:tcPr>
            <w:tcW w:w="15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CDDD0D">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1067.07</w:t>
            </w:r>
          </w:p>
        </w:tc>
        <w:tc>
          <w:tcPr>
            <w:tcW w:w="14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A38204">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89.21%</w:t>
            </w:r>
          </w:p>
        </w:tc>
        <w:tc>
          <w:tcPr>
            <w:tcW w:w="136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1A1CF16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59.85%</w:t>
            </w:r>
          </w:p>
        </w:tc>
      </w:tr>
      <w:tr w14:paraId="19890D7B">
        <w:tblPrEx>
          <w:tblCellMar>
            <w:top w:w="0" w:type="dxa"/>
            <w:left w:w="0" w:type="dxa"/>
            <w:bottom w:w="0" w:type="dxa"/>
            <w:right w:w="0" w:type="dxa"/>
          </w:tblCellMar>
        </w:tblPrEx>
        <w:trPr>
          <w:trHeight w:val="567" w:hRule="exact"/>
        </w:trPr>
        <w:tc>
          <w:tcPr>
            <w:tcW w:w="2299" w:type="dxa"/>
            <w:gridSpan w:val="2"/>
            <w:tcBorders>
              <w:top w:val="single" w:color="000000" w:sz="4" w:space="0"/>
              <w:left w:val="single" w:color="000000" w:sz="8" w:space="0"/>
              <w:bottom w:val="single" w:color="000000" w:sz="8" w:space="0"/>
              <w:right w:val="single" w:color="000000" w:sz="4" w:space="0"/>
            </w:tcBorders>
            <w:noWrap/>
            <w:tcMar>
              <w:top w:w="12" w:type="dxa"/>
              <w:left w:w="12" w:type="dxa"/>
              <w:right w:w="12" w:type="dxa"/>
            </w:tcMar>
            <w:vAlign w:val="center"/>
          </w:tcPr>
          <w:p w14:paraId="76754ADE">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w:t>
            </w:r>
          </w:p>
        </w:tc>
        <w:tc>
          <w:tcPr>
            <w:tcW w:w="1619"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7C3F18B1">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1906.62</w:t>
            </w:r>
          </w:p>
        </w:tc>
        <w:tc>
          <w:tcPr>
            <w:tcW w:w="1575"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050CCD76">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1782.77</w:t>
            </w:r>
          </w:p>
        </w:tc>
        <w:tc>
          <w:tcPr>
            <w:tcW w:w="1485"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0938A985">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93.50%</w:t>
            </w:r>
          </w:p>
        </w:tc>
        <w:tc>
          <w:tcPr>
            <w:tcW w:w="1365" w:type="dxa"/>
            <w:tcBorders>
              <w:top w:val="single" w:color="000000" w:sz="4" w:space="0"/>
              <w:left w:val="single" w:color="000000" w:sz="4" w:space="0"/>
              <w:bottom w:val="single" w:color="000000" w:sz="8" w:space="0"/>
              <w:right w:val="single" w:color="000000" w:sz="8" w:space="0"/>
            </w:tcBorders>
            <w:noWrap/>
            <w:tcMar>
              <w:top w:w="12" w:type="dxa"/>
              <w:left w:w="12" w:type="dxa"/>
              <w:right w:w="12" w:type="dxa"/>
            </w:tcMar>
            <w:vAlign w:val="center"/>
          </w:tcPr>
          <w:p w14:paraId="0B632BD9">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93.50%</w:t>
            </w:r>
          </w:p>
        </w:tc>
      </w:tr>
    </w:tbl>
    <w:p w14:paraId="38C637B5">
      <w:pPr>
        <w:keepNext w:val="0"/>
        <w:keepLines w:val="0"/>
        <w:pageBreakBefore w:val="0"/>
        <w:wordWrap/>
        <w:topLinePunct w:val="0"/>
        <w:bidi w:val="0"/>
        <w:snapToGrid w:val="0"/>
        <w:spacing w:line="56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3．支出按经济分类科目分析</w:t>
      </w:r>
    </w:p>
    <w:p w14:paraId="640DF6B0">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（1）“三公”经费全年支出3.83万元，比上年增加0.43万元，主要为出国经费，根据业务需求开展工作。本年增加因公出国经费。</w:t>
      </w:r>
    </w:p>
    <w:p w14:paraId="25C9BD0B">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（2）会议费全年支出0.48万元，比上年增加0.24万元，本年会议费在预算额度内正常开出，无特别说明。</w:t>
      </w:r>
    </w:p>
    <w:p w14:paraId="24EBD145">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（3）培训费全年支出0.13万元，比上年减少0.97万元。本年培训费在预算额度内正常开出，无特别说明。</w:t>
      </w:r>
    </w:p>
    <w:p w14:paraId="421877F8">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p>
    <w:tbl>
      <w:tblPr>
        <w:tblStyle w:val="9"/>
        <w:tblW w:w="0" w:type="auto"/>
        <w:tblInd w:w="0" w:type="dxa"/>
        <w:tblLayout w:type="fixed"/>
        <w:tblCellMar>
          <w:top w:w="0" w:type="dxa"/>
          <w:left w:w="0" w:type="dxa"/>
          <w:bottom w:w="0" w:type="dxa"/>
          <w:right w:w="0" w:type="dxa"/>
        </w:tblCellMar>
      </w:tblPr>
      <w:tblGrid>
        <w:gridCol w:w="2148"/>
        <w:gridCol w:w="1470"/>
        <w:gridCol w:w="1470"/>
        <w:gridCol w:w="1560"/>
        <w:gridCol w:w="1635"/>
      </w:tblGrid>
      <w:tr w14:paraId="1EADBB36">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2C3A7EA8">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项  目</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47E77AE9">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kern w:val="0"/>
                <w:sz w:val="20"/>
                <w:szCs w:val="20"/>
                <w:lang w:bidi="ar"/>
              </w:rPr>
            </w:pPr>
            <w:r>
              <w:rPr>
                <w:rFonts w:hint="default" w:ascii="Times New Roman" w:hAnsi="Times New Roman" w:eastAsia="方正仿宋_GBK" w:cs="Times New Roman"/>
                <w:kern w:val="0"/>
                <w:sz w:val="20"/>
                <w:szCs w:val="20"/>
                <w:lang w:bidi="ar"/>
              </w:rPr>
              <w:t>年初预算</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0ADFC3BE">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实际执行数</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539D67C2">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执行进度</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1E8315E">
            <w:pPr>
              <w:keepNext w:val="0"/>
              <w:keepLines w:val="0"/>
              <w:pageBreakBefore w:val="0"/>
              <w:widowControl/>
              <w:wordWrap/>
              <w:topLinePunct w:val="0"/>
              <w:bidi w:val="0"/>
              <w:spacing w:line="56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上年决算执行数</w:t>
            </w:r>
          </w:p>
        </w:tc>
      </w:tr>
      <w:tr w14:paraId="09B043B5">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15685301">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因公出国（境）费用</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073CD1FC">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713547F6">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3.56</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2748885E">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1EF760CA">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p>
        </w:tc>
      </w:tr>
      <w:tr w14:paraId="0C7660ED">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7DC962EF">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公务用车运行维护费</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577F66A2">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5C3E1DEB">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4A94BCCF">
            <w:pPr>
              <w:keepNext w:val="0"/>
              <w:keepLines w:val="0"/>
              <w:pageBreakBefore w:val="0"/>
              <w:widowControl/>
              <w:wordWrap/>
              <w:topLinePunct w:val="0"/>
              <w:bidi w:val="0"/>
              <w:spacing w:line="560" w:lineRule="exact"/>
              <w:jc w:val="right"/>
              <w:textAlignment w:val="center"/>
              <w:rPr>
                <w:rFonts w:hint="default" w:ascii="Times New Roman" w:hAnsi="Times New Roman" w:eastAsia="方正仿宋_GBK" w:cs="Times New Roman"/>
                <w:sz w:val="20"/>
                <w:szCs w:val="20"/>
              </w:rPr>
            </w:pP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4BACD427">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p>
        </w:tc>
      </w:tr>
      <w:tr w14:paraId="7AF462ED">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0F5A1C0C">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公务接待费</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1B33133D">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68C6BB84">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0.27</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5194C9D">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18%</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296FB488">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0.8</w:t>
            </w:r>
          </w:p>
        </w:tc>
      </w:tr>
      <w:tr w14:paraId="13A56E56">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1E4879E0">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三公经费小计</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4D371959">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36EA1FEF">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3.83</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014298A2">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6B6DE368">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0.8</w:t>
            </w:r>
          </w:p>
        </w:tc>
      </w:tr>
      <w:tr w14:paraId="5E524690">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186D8D6E">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会议费</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6BB79AFC">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44C37BEF">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0.48</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43CFDDDC">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32%</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31E7440B">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1.1</w:t>
            </w:r>
          </w:p>
        </w:tc>
      </w:tr>
      <w:tr w14:paraId="3EBB6966">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top"/>
          </w:tcPr>
          <w:p w14:paraId="3C9F9BA0">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培训费</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45ECD3AF">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1.1</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57C81AE0">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0.13</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32D4FD95">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11.82%</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141FEE88">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1.5</w:t>
            </w:r>
          </w:p>
        </w:tc>
      </w:tr>
      <w:tr w14:paraId="6A020F01">
        <w:tblPrEx>
          <w:tblCellMar>
            <w:top w:w="0" w:type="dxa"/>
            <w:left w:w="0" w:type="dxa"/>
            <w:bottom w:w="0" w:type="dxa"/>
            <w:right w:w="0" w:type="dxa"/>
          </w:tblCellMar>
        </w:tblPrEx>
        <w:trPr>
          <w:trHeight w:val="567" w:hRule="atLeast"/>
        </w:trPr>
        <w:tc>
          <w:tcPr>
            <w:tcW w:w="214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5CFDDC2F">
            <w:pPr>
              <w:keepNext w:val="0"/>
              <w:keepLines w:val="0"/>
              <w:pageBreakBefore w:val="0"/>
              <w:widowControl/>
              <w:wordWrap/>
              <w:topLinePunct w:val="0"/>
              <w:bidi w:val="0"/>
              <w:spacing w:line="560" w:lineRule="exact"/>
              <w:jc w:val="left"/>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合计</w:t>
            </w:r>
          </w:p>
        </w:tc>
        <w:tc>
          <w:tcPr>
            <w:tcW w:w="1470" w:type="dxa"/>
            <w:tcBorders>
              <w:top w:val="single" w:color="000000" w:sz="8" w:space="0"/>
              <w:left w:val="single" w:color="000000" w:sz="8" w:space="0"/>
              <w:bottom w:val="single" w:color="000000" w:sz="8" w:space="0"/>
              <w:right w:val="single" w:color="000000" w:sz="8" w:space="0"/>
            </w:tcBorders>
            <w:noWrap w:val="0"/>
            <w:vAlign w:val="top"/>
          </w:tcPr>
          <w:p w14:paraId="16387A7C">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4.1</w:t>
            </w:r>
          </w:p>
        </w:tc>
        <w:tc>
          <w:tcPr>
            <w:tcW w:w="147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0918F4AC">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4.44</w:t>
            </w:r>
          </w:p>
        </w:tc>
        <w:tc>
          <w:tcPr>
            <w:tcW w:w="1560"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14:paraId="01777EB9">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100%</w:t>
            </w:r>
          </w:p>
        </w:tc>
        <w:tc>
          <w:tcPr>
            <w:tcW w:w="1635"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top"/>
          </w:tcPr>
          <w:p w14:paraId="74C8D255">
            <w:pPr>
              <w:keepNext w:val="0"/>
              <w:keepLines w:val="0"/>
              <w:pageBreakBefore w:val="0"/>
              <w:wordWrap/>
              <w:topLinePunct w:val="0"/>
              <w:bidi w:val="0"/>
              <w:spacing w:line="560" w:lineRule="exact"/>
              <w:jc w:val="righ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3.4</w:t>
            </w:r>
          </w:p>
        </w:tc>
      </w:tr>
    </w:tbl>
    <w:p w14:paraId="552ED388">
      <w:pPr>
        <w:keepNext w:val="0"/>
        <w:keepLines w:val="0"/>
        <w:pageBreakBefore w:val="0"/>
        <w:numPr>
          <w:ilvl w:val="0"/>
          <w:numId w:val="2"/>
        </w:numPr>
        <w:wordWrap/>
        <w:topLinePunct w:val="0"/>
        <w:bidi w:val="0"/>
        <w:snapToGrid w:val="0"/>
        <w:spacing w:line="560" w:lineRule="exact"/>
        <w:ind w:firstLine="640" w:firstLineChars="200"/>
        <w:rPr>
          <w:rFonts w:hint="eastAsia"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财政拨款收入、支出分析</w:t>
      </w:r>
    </w:p>
    <w:p w14:paraId="6879299D">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2024年财政拨款收入1241.40万元，支出1242.92万元。基本支出715.69万元，其中工资福利支出677.57万元、商品和服务支出570.87万元，对个人和家庭的补助0.51万元；项目支出533.26万元。</w:t>
      </w:r>
    </w:p>
    <w:p w14:paraId="5DCD4E26">
      <w:pPr>
        <w:keepNext w:val="0"/>
        <w:keepLines w:val="0"/>
        <w:pageBreakBefore w:val="0"/>
        <w:numPr>
          <w:ilvl w:val="0"/>
          <w:numId w:val="2"/>
        </w:numPr>
        <w:wordWrap/>
        <w:topLinePunct w:val="0"/>
        <w:bidi w:val="0"/>
        <w:snapToGrid w:val="0"/>
        <w:spacing w:line="560" w:lineRule="exact"/>
        <w:ind w:left="0" w:leftChars="0"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非财政拨款收入分析</w:t>
      </w:r>
    </w:p>
    <w:p w14:paraId="7CD23E69">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highlight w:val="darkCyan"/>
        </w:rPr>
      </w:pPr>
      <w:r>
        <w:rPr>
          <w:rFonts w:hint="default" w:ascii="Times New Roman" w:hAnsi="Times New Roman" w:eastAsia="方正仿宋_GBK" w:cs="Times New Roman"/>
          <w:sz w:val="32"/>
          <w:szCs w:val="32"/>
        </w:rPr>
        <w:t>本年非财政拨款收入共计522.70万元，其中非税收入522.56万元，银行存款利息收入0.14万元。</w:t>
      </w:r>
    </w:p>
    <w:p w14:paraId="71B2B330">
      <w:pPr>
        <w:keepNext w:val="0"/>
        <w:keepLines w:val="0"/>
        <w:pageBreakBefore w:val="0"/>
        <w:wordWrap/>
        <w:topLinePunct w:val="0"/>
        <w:bidi w:val="0"/>
        <w:snapToGrid w:val="0"/>
        <w:spacing w:line="560" w:lineRule="exact"/>
        <w:ind w:firstLine="640" w:firstLineChars="200"/>
        <w:outlineLvl w:val="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（三）年末结转和结余情况</w:t>
      </w:r>
    </w:p>
    <w:p w14:paraId="5A0BF51F">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2024年年末结转结余51.43万元。财政拨款结转结余51.43万元，主要是待扣缴的人员社保、公积金；非财政拨款结转结余0.43万元，为非税利息收入结转。</w:t>
      </w:r>
    </w:p>
    <w:p w14:paraId="2532DAAF">
      <w:pPr>
        <w:keepNext w:val="0"/>
        <w:keepLines w:val="0"/>
        <w:pageBreakBefore w:val="0"/>
        <w:wordWrap/>
        <w:topLinePunct w:val="0"/>
        <w:bidi w:val="0"/>
        <w:snapToGrid w:val="0"/>
        <w:spacing w:line="560" w:lineRule="exact"/>
        <w:ind w:firstLine="640" w:firstLineChars="200"/>
        <w:outlineLvl w:val="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（四）与预算支出相关的其他指标分析</w:t>
      </w:r>
    </w:p>
    <w:p w14:paraId="044D538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2024年末单位资产294.50万元，比上年减少91.63万元主要原因为资产折旧。</w:t>
      </w:r>
    </w:p>
    <w:p w14:paraId="6619C27C">
      <w:pPr>
        <w:keepNext w:val="0"/>
        <w:keepLines w:val="0"/>
        <w:pageBreakBefore w:val="0"/>
        <w:wordWrap/>
        <w:topLinePunct w:val="0"/>
        <w:bidi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2024年末负0.26万元，比上年减少16.43万元，主要原因是部分往来款项已结清。</w:t>
      </w:r>
    </w:p>
    <w:p w14:paraId="7D3FCFD4">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三、绩效目标</w:t>
      </w:r>
    </w:p>
    <w:p w14:paraId="3206DA90">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（一）中长期发展目标</w:t>
      </w:r>
    </w:p>
    <w:p w14:paraId="10DC04D2">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以提升南京平台服务能力为抓手，规范化、高质量开展医用耗材和药品集中采购集中结算工作。依托和发挥信息化系统效能，强化监测分析，做好服务引导。</w:t>
      </w:r>
    </w:p>
    <w:p w14:paraId="5EDFEDF6">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以保障市医保信息平台安全稳定运行为基础，做好包括南京平台在内的医保各信息系统的技术支撑和运行保障工作以及市医保信息化建设总体技术架构制定。指导各医保分局、各单位信息化建设工作，提供技术咨询服务与支持。</w:t>
      </w:r>
    </w:p>
    <w:p w14:paraId="47D188E9">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以建设好运行好12393医保服务热线为起点，推进医保咨询服务、招采公共服务工作的服务质效和服务满意度提升，创树群众满意的医保经办服务形象。</w:t>
      </w:r>
    </w:p>
    <w:p w14:paraId="08C659AF">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以党的建设为引领，强化和规范内部管理，加强对在编、员额、合作单位派驻、技术公司驻点服务等各类人员的考核管理，打造一支政治坚强、本领高强、意志顽强的干部队伍。</w:t>
      </w:r>
    </w:p>
    <w:p w14:paraId="36ED087F">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（二）202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年度重点工作和目标</w:t>
      </w:r>
    </w:p>
    <w:p w14:paraId="03742450">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根据《202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年全市医疗保障工作要点》，中心年度重点工作和目标</w:t>
      </w:r>
      <w:r>
        <w:rPr>
          <w:rFonts w:hint="eastAsia" w:ascii="Times New Roman" w:hAnsi="Times New Roman" w:eastAsia="方正仿宋_GBK" w:cs="Times New Roman"/>
          <w:bCs/>
          <w:snapToGrid/>
          <w:spacing w:val="-4"/>
          <w:kern w:val="2"/>
          <w:sz w:val="32"/>
          <w:szCs w:val="32"/>
          <w:lang w:val="en-US" w:eastAsia="zh-CN"/>
        </w:rPr>
        <w:t>如下</w:t>
      </w:r>
      <w:r>
        <w:rPr>
          <w:rFonts w:hint="default" w:ascii="Times New Roman" w:hAnsi="Times New Roman" w:eastAsia="方正仿宋_GBK" w:cs="Times New Roman"/>
          <w:bCs/>
          <w:snapToGrid/>
          <w:spacing w:val="-4"/>
          <w:kern w:val="2"/>
          <w:sz w:val="32"/>
          <w:szCs w:val="32"/>
        </w:rPr>
        <w:t>：</w:t>
      </w:r>
    </w:p>
    <w:p w14:paraId="5C475AA3">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是结合南京平台建设，全面梳理业务流程，优化简化办理手续，实现全部招采业务网上可办，90%以上的业务全程网办，进一步缩短办理时限；动态监测医疗机构、医药企业医用耗材和药品网上采购供应情况，按月通报网上集中采购情况，督促医疗机构、医药企业落实集采政策要求</w:t>
      </w:r>
      <w:r>
        <w:rPr>
          <w:rFonts w:hint="eastAsia" w:ascii="Times New Roman" w:hAnsi="Times New Roman" w:eastAsia="方正仿宋_GBK" w:cs="Times New Roman"/>
          <w:sz w:val="32"/>
          <w:szCs w:val="32"/>
          <w:lang w:eastAsia="zh-CN"/>
        </w:rPr>
        <w:t>。</w:t>
      </w:r>
    </w:p>
    <w:p w14:paraId="19A88288">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是建立健全云平台、应用系统、网络安全等运行维护体系，建设信息经办运维技术平台，编制完善运维管理规定和操作手册。牢固树立安全意识，做好常态化安全检查，筑牢医保信息化安全屏障，提高医保信息系统整体稳定运行水平</w:t>
      </w:r>
      <w:r>
        <w:rPr>
          <w:rFonts w:hint="eastAsia" w:ascii="Times New Roman" w:hAnsi="Times New Roman" w:eastAsia="方正仿宋_GBK" w:cs="Times New Roman"/>
          <w:sz w:val="32"/>
          <w:szCs w:val="32"/>
          <w:lang w:eastAsia="zh-CN"/>
        </w:rPr>
        <w:t>。</w:t>
      </w:r>
    </w:p>
    <w:p w14:paraId="30C40267">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三是积极扩大医保高铁覆盖面，南京平台新用户开户工作与“医保高铁”开户工作进行同步管理，实现“新增用户”全覆盖，扩大医保高铁开户人员范围，推进高校职工、参保人员开户工作。</w:t>
      </w:r>
    </w:p>
    <w:p w14:paraId="1D3102CB">
      <w:pPr>
        <w:keepNext w:val="0"/>
        <w:keepLines w:val="0"/>
        <w:pageBreakBefore w:val="0"/>
        <w:widowControl w:val="0"/>
        <w:kinsoku/>
        <w:wordWrap/>
        <w:overflowPunct w:val="0"/>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优化医保咨询服务能力，实现7×24小时全天候人工服务，逐步提升服务满意率；建设线上、线下一体化的智能客服系统，完善医保政策业务咨询知识库系统，深化拓展微信公众号咨询服务渠道，充分利用信息化平台手段提升咨询业务的信息化应用的广度与深度。提升12345工单办理质量，优化完善办理流程，建立紧急工单处理机制，加强与政务办、局业务处室及医保经办机构的沟通协调，进一步提高工单办结率。</w:t>
      </w:r>
    </w:p>
    <w:p w14:paraId="2C5D395F">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四、评价工作简述</w:t>
      </w:r>
    </w:p>
    <w:p w14:paraId="354354A2">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一</w:t>
      </w: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评价对象和范围</w:t>
      </w:r>
    </w:p>
    <w:p w14:paraId="5D629E8A">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本次评价对象为202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年度南京市医疗保障综合服务中心部门整体情况，绩效评价时段为202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年1月1日至202</w:t>
      </w:r>
      <w:r>
        <w:rPr>
          <w:rFonts w:hint="default" w:ascii="Times New Roman" w:hAnsi="Times New Roman" w:eastAsia="方正仿宋_GBK" w:cs="Times New Roman"/>
          <w:bCs/>
          <w:snapToGrid/>
          <w:spacing w:val="-4"/>
          <w:kern w:val="2"/>
          <w:sz w:val="32"/>
          <w:szCs w:val="32"/>
          <w:lang w:val="en-US" w:eastAsia="zh-CN"/>
        </w:rPr>
        <w:t>4</w:t>
      </w:r>
      <w:r>
        <w:rPr>
          <w:rFonts w:hint="default" w:ascii="Times New Roman" w:hAnsi="Times New Roman" w:eastAsia="方正仿宋_GBK" w:cs="Times New Roman"/>
          <w:bCs/>
          <w:snapToGrid/>
          <w:spacing w:val="-4"/>
          <w:kern w:val="2"/>
          <w:sz w:val="32"/>
          <w:szCs w:val="32"/>
        </w:rPr>
        <w:t>年12月31日。</w:t>
      </w:r>
    </w:p>
    <w:p w14:paraId="7F5AA88F">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二</w:t>
      </w: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评价结论</w:t>
      </w:r>
    </w:p>
    <w:p w14:paraId="55F69130">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中心严格落实政府“过紧日子”的要求，大力压减一般性支出，严控“三公经费”支出，进一步提高财政资金使用效能；强化预算刚性约束，做到无预算不开支，有预算不超支；加强会计核算，提高会计核算质量，做到项目核算清晰、收入支出配比、会计记录准确及时，确保账账相符、账证相符、账表相符、账实相符；严肃财经纪律，切实履行财务监督职能，对不符合要求的单据予以退回重办或拒付，确保财政资金合法合规、安全高效运行，为中心各项事业发展提供有力支撑。</w:t>
      </w:r>
    </w:p>
    <w:p w14:paraId="2AA37413">
      <w:pPr>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在网上采购医用耗材（含检验检测试剂）、药品、中药饮片及配方颗粒总金额410.99亿元。其中，“南京专区”医用耗材和药品网上集中采购金额达177.31亿元，超序时进度47.75个百分点，同比增加43.25亿元，已超额完成年度目标任务（120亿元）。集中结算金额达370亿元，同比增加38亿元，完成年度目标任务的115%（320亿元）；累计完成5家试点医疗机构医保基金与医药企业直接结算金额2.86亿元；</w:t>
      </w:r>
      <w:r>
        <w:rPr>
          <w:rFonts w:hint="eastAsia"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rPr>
        <w:t>12393热线来电总量99.54万个，人工接通率94.98%，智能客服接听7.41万个，自助语音应答10.43万个，综合接通率95.91%，服务满意度达99.83%。</w:t>
      </w:r>
    </w:p>
    <w:p w14:paraId="7CF6CDA6">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各项</w:t>
      </w:r>
      <w:r>
        <w:rPr>
          <w:rFonts w:hint="default" w:ascii="Times New Roman" w:hAnsi="Times New Roman" w:eastAsia="方正仿宋_GBK" w:cs="Times New Roman"/>
          <w:sz w:val="32"/>
          <w:szCs w:val="32"/>
        </w:rPr>
        <w:t>经费支出及任务均圆满完成，资产管理有效运行。通过加强预算绩效管理，财政资金得到有效的使用，有效促进医药集中采购保障工作的顺利开展。202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年度中心绩效评价自评得分为9</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分，等级为优。</w:t>
      </w:r>
    </w:p>
    <w:p w14:paraId="598A9BC3">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五、部门履职成效</w:t>
      </w:r>
    </w:p>
    <w:p w14:paraId="063AD8E5">
      <w:pPr>
        <w:keepNext w:val="0"/>
        <w:keepLines w:val="0"/>
        <w:pageBreakBefore w:val="0"/>
        <w:wordWrap/>
        <w:topLinePunct w:val="0"/>
        <w:bidi w:val="0"/>
        <w:spacing w:line="560" w:lineRule="exact"/>
        <w:ind w:firstLine="643"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集中采购</w:t>
      </w:r>
      <w:r>
        <w:rPr>
          <w:rFonts w:hint="default" w:ascii="Times New Roman" w:hAnsi="Times New Roman" w:eastAsia="方正仿宋_GBK" w:cs="Times New Roman"/>
          <w:sz w:val="32"/>
          <w:szCs w:val="32"/>
        </w:rPr>
        <w:t>：顺利完成省招采子系统“南京专区”功能部署、数据迁移、页面整合、用户授权、产品贯标等工作，成功通过国家局现场验收和项目建设验收。截至12月31日，各定点医药机构2024年度在网上采购医用耗材（含检验检测试剂）、药品、中药饮片及配方颗粒总金额410.99亿元。其中，“南京专区”医用耗材和药品网上集中采购金额达177.31亿元，超序时进度47.75个百分点，同比增加43.25亿元，已超额完成年度目标任务（120亿元）。</w:t>
      </w:r>
    </w:p>
    <w:p w14:paraId="5CDD213D">
      <w:pPr>
        <w:keepNext w:val="0"/>
        <w:keepLines w:val="0"/>
        <w:pageBreakBefore w:val="0"/>
        <w:wordWrap/>
        <w:topLinePunct w:val="0"/>
        <w:bidi w:val="0"/>
        <w:spacing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集中结算</w:t>
      </w:r>
      <w:r>
        <w:rPr>
          <w:rFonts w:hint="default" w:ascii="Times New Roman" w:hAnsi="Times New Roman" w:eastAsia="方正仿宋_GBK" w:cs="Times New Roman"/>
          <w:sz w:val="32"/>
          <w:szCs w:val="32"/>
        </w:rPr>
        <w:t>：协同推进网采率监测督办工作，按月通报医疗机构与配送企业的“五率”指标落实情况；构建药品、医用耗材集中采购集中结算与医保基金结算联动机制，对清欠率未达标的12家二级及以上定点医疗机构下调一级DRG级别系数结算，目前9家清欠率已达标。通过结余留用考核、集采带量专项推进会议等，通报各医疗机构带量采购、集中结算执行情况，督促落实相关政策要求，切实解决带量不足、支付超期等问题。截至12月31日，</w:t>
      </w:r>
      <w:bookmarkStart w:id="0" w:name="OLE_LINK8"/>
      <w:r>
        <w:rPr>
          <w:rFonts w:hint="default" w:ascii="Times New Roman" w:hAnsi="Times New Roman" w:eastAsia="方正仿宋_GBK" w:cs="Times New Roman"/>
          <w:sz w:val="32"/>
          <w:szCs w:val="32"/>
        </w:rPr>
        <w:t>集中结算金额达370亿元，同比增加38亿元，完成年度目标任务的115%（320亿元）；累计完成5家试点医疗机构医保基金与医药企业直接结算金额2.86亿元；</w:t>
      </w:r>
      <w:bookmarkEnd w:id="0"/>
      <w:r>
        <w:rPr>
          <w:rFonts w:hint="default" w:ascii="Times New Roman" w:hAnsi="Times New Roman" w:eastAsia="方正仿宋_GBK" w:cs="Times New Roman"/>
          <w:sz w:val="32"/>
          <w:szCs w:val="32"/>
        </w:rPr>
        <w:t>医用耗材配送率为99.3%、申请率为95.1%、确认率为99%、付款率为82.8%、清欠率为97.7%、结算率为100%；药品配送率为91.8%、申请率为89.9%、确认率为99.5%、付款率为84.1%、清欠率为98.3%、结算率为100%。</w:t>
      </w:r>
    </w:p>
    <w:p w14:paraId="45676BA6">
      <w:pPr>
        <w:keepNext w:val="0"/>
        <w:keepLines w:val="0"/>
        <w:pageBreakBefore w:val="0"/>
        <w:wordWrap/>
        <w:topLinePunct w:val="0"/>
        <w:bidi w:val="0"/>
        <w:spacing w:line="560" w:lineRule="exact"/>
        <w:ind w:firstLine="643"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b/>
          <w:bCs/>
          <w:kern w:val="0"/>
          <w:sz w:val="32"/>
          <w:szCs w:val="32"/>
        </w:rPr>
        <w:t>医保高铁</w:t>
      </w:r>
      <w:r>
        <w:rPr>
          <w:rFonts w:hint="default" w:ascii="Times New Roman" w:hAnsi="Times New Roman" w:eastAsia="方正仿宋_GBK" w:cs="Times New Roman"/>
          <w:kern w:val="0"/>
          <w:sz w:val="32"/>
          <w:szCs w:val="32"/>
        </w:rPr>
        <w:t>：聚焦医保改革实际需求，持续</w:t>
      </w:r>
      <w:r>
        <w:rPr>
          <w:rFonts w:hint="default" w:ascii="Times New Roman" w:hAnsi="Times New Roman" w:eastAsia="方正仿宋_GBK" w:cs="Times New Roman"/>
          <w:kern w:val="0"/>
          <w:sz w:val="32"/>
          <w:szCs w:val="32"/>
          <w:lang w:val="zh-CN"/>
        </w:rPr>
        <w:t>深化“医保高铁”功能模块，扩展“医保高铁”应用场景，</w:t>
      </w:r>
      <w:r>
        <w:rPr>
          <w:rFonts w:hint="default" w:ascii="Times New Roman" w:hAnsi="Times New Roman" w:eastAsia="方正仿宋_GBK" w:cs="Times New Roman"/>
          <w:kern w:val="0"/>
          <w:sz w:val="32"/>
          <w:szCs w:val="32"/>
        </w:rPr>
        <w:t>新建上线学习实践课堂、两定结算、企业要情等32个模块，优化本市要情、长期护理保险、电子处方流转等47个模块，推动“医保高铁”逐步覆盖医保全部业务领域，实现业务运行全景呈现、全程监管、全域可控，已成为助力 “三医” 协同发展的数智化治理工具。</w:t>
      </w:r>
      <w:r>
        <w:rPr>
          <w:rFonts w:hint="default" w:ascii="Times New Roman" w:hAnsi="Times New Roman" w:eastAsia="方正仿宋_GBK" w:cs="Times New Roman"/>
          <w:sz w:val="32"/>
          <w:szCs w:val="32"/>
        </w:rPr>
        <w:t>目前“医保高铁”风险监测和业务调度中心已试运行三个月，将成为集中展示南京医保工作成效的重要载体，也是医保基金风险监管和指挥调度的大脑中枢。同时，持续</w:t>
      </w:r>
      <w:r>
        <w:rPr>
          <w:rFonts w:hint="default" w:ascii="Times New Roman" w:hAnsi="Times New Roman" w:eastAsia="方正仿宋_GBK" w:cs="Times New Roman"/>
          <w:sz w:val="32"/>
          <w:szCs w:val="32"/>
          <w:lang w:bidi="ar"/>
        </w:rPr>
        <w:t>健全“三医四全五环”工作机制，</w:t>
      </w:r>
      <w:r>
        <w:rPr>
          <w:rFonts w:hint="default" w:ascii="Times New Roman" w:hAnsi="Times New Roman" w:eastAsia="方正仿宋_GBK" w:cs="Times New Roman"/>
          <w:sz w:val="32"/>
          <w:szCs w:val="32"/>
        </w:rPr>
        <w:t>完善调度中心运行机制与工作职责，确认形成66条风险预警调度指标，完成22个大屏端设计、建设工作，实现对四医业务、八大重点工作核心指标的</w:t>
      </w:r>
      <w:r>
        <w:rPr>
          <w:rFonts w:hint="default" w:ascii="Times New Roman" w:hAnsi="Times New Roman" w:eastAsia="方正仿宋_GBK" w:cs="Times New Roman"/>
          <w:kern w:val="0"/>
          <w:sz w:val="32"/>
          <w:szCs w:val="32"/>
        </w:rPr>
        <w:t>实时监测、风险预警调度及工作调度</w:t>
      </w:r>
      <w:r>
        <w:rPr>
          <w:rFonts w:hint="default" w:ascii="Times New Roman" w:hAnsi="Times New Roman" w:eastAsia="方正仿宋_GBK" w:cs="Times New Roman"/>
          <w:sz w:val="32"/>
          <w:szCs w:val="32"/>
          <w:lang w:bidi="ar"/>
        </w:rPr>
        <w:t>。</w:t>
      </w:r>
    </w:p>
    <w:p w14:paraId="0E0E3A68">
      <w:pPr>
        <w:pStyle w:val="2"/>
        <w:keepNext w:val="0"/>
        <w:keepLines w:val="0"/>
        <w:pageBreakBefore w:val="0"/>
        <w:wordWrap/>
        <w:topLinePunct w:val="0"/>
        <w:bidi w:val="0"/>
        <w:spacing w:line="560" w:lineRule="exact"/>
        <w:ind w:firstLine="643"/>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信息服务</w:t>
      </w:r>
      <w:r>
        <w:rPr>
          <w:rFonts w:hint="default" w:ascii="Times New Roman" w:hAnsi="Times New Roman" w:eastAsia="方正仿宋_GBK" w:cs="Times New Roman"/>
          <w:sz w:val="32"/>
          <w:szCs w:val="32"/>
        </w:rPr>
        <w:t>：持续做好应用系统运维，不断优化完善相关功能模块。</w:t>
      </w:r>
      <w:r>
        <w:rPr>
          <w:rFonts w:hint="default" w:ascii="Times New Roman" w:hAnsi="Times New Roman" w:eastAsia="方正仿宋_GBK" w:cs="Times New Roman"/>
          <w:b/>
          <w:bCs/>
          <w:sz w:val="32"/>
          <w:szCs w:val="32"/>
        </w:rPr>
        <w:t>一是完成我市异地就医系统升级改造。</w:t>
      </w:r>
      <w:r>
        <w:rPr>
          <w:rFonts w:hint="default" w:ascii="Times New Roman" w:hAnsi="Times New Roman" w:eastAsia="方正仿宋_GBK" w:cs="Times New Roman"/>
          <w:sz w:val="32"/>
          <w:szCs w:val="32"/>
        </w:rPr>
        <w:t>根据省医保局《关于做好全省异地就医系统升级有关工作的通知》，中心积极开展“异地就医升级改造”系统开发和省市联调测试工作，于2024年12月9日按时放开异地结算，经过持续监测和保障，异地就医系统运行平稳。</w:t>
      </w:r>
      <w:r>
        <w:rPr>
          <w:rFonts w:hint="default" w:ascii="Times New Roman" w:hAnsi="Times New Roman" w:eastAsia="方正仿宋_GBK" w:cs="Times New Roman"/>
          <w:b/>
          <w:bCs/>
          <w:sz w:val="32"/>
          <w:szCs w:val="32"/>
        </w:rPr>
        <w:t>二是完成VRG付费支付系统开发。</w:t>
      </w:r>
      <w:r>
        <w:rPr>
          <w:rFonts w:hint="default" w:ascii="Times New Roman" w:hAnsi="Times New Roman" w:eastAsia="方正仿宋_GBK" w:cs="Times New Roman"/>
          <w:sz w:val="32"/>
          <w:szCs w:val="32"/>
        </w:rPr>
        <w:t>根据VRG付费改革要求，完成VRG付费支付功能模块的程序开发部署、业务数据处理以及业务场景测试等工作，确保VRG付费改革按时落地，首批共有28家定点医疗机构参与实施。</w:t>
      </w:r>
      <w:r>
        <w:rPr>
          <w:rFonts w:hint="default" w:ascii="Times New Roman" w:hAnsi="Times New Roman" w:eastAsia="方正仿宋_GBK" w:cs="Times New Roman"/>
          <w:b/>
          <w:bCs/>
          <w:sz w:val="32"/>
          <w:szCs w:val="32"/>
        </w:rPr>
        <w:t>三是助力完成医保惠民政策落地。</w:t>
      </w:r>
      <w:r>
        <w:rPr>
          <w:rFonts w:hint="default" w:ascii="Times New Roman" w:hAnsi="Times New Roman" w:eastAsia="方正仿宋_GBK" w:cs="Times New Roman"/>
          <w:sz w:val="32"/>
          <w:szCs w:val="32"/>
          <w:shd w:val="clear" w:color="auto" w:fill="FFFFFF"/>
        </w:rPr>
        <w:t>积极贯彻落实国家、省、市相关政策要求，助力</w:t>
      </w:r>
      <w:r>
        <w:rPr>
          <w:rFonts w:hint="default" w:ascii="Times New Roman" w:hAnsi="Times New Roman" w:eastAsia="方正仿宋_GBK" w:cs="Times New Roman"/>
          <w:sz w:val="32"/>
          <w:szCs w:val="32"/>
        </w:rPr>
        <w:t>完成大病起付线调整、生育保险及异地门诊结算基金支付比例调整、202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年度个人账户结转计息、“辅助生殖进医保”等政策落地。</w:t>
      </w:r>
      <w:r>
        <w:rPr>
          <w:rFonts w:hint="default" w:ascii="Times New Roman" w:hAnsi="Times New Roman" w:eastAsia="方正仿宋_GBK" w:cs="Times New Roman"/>
          <w:b/>
          <w:bCs/>
          <w:sz w:val="32"/>
          <w:szCs w:val="32"/>
        </w:rPr>
        <w:t>四是持续优化完善平台功能。</w:t>
      </w:r>
      <w:r>
        <w:rPr>
          <w:rFonts w:hint="default" w:ascii="Times New Roman" w:hAnsi="Times New Roman" w:eastAsia="方正仿宋_GBK" w:cs="Times New Roman"/>
          <w:sz w:val="32"/>
          <w:szCs w:val="32"/>
        </w:rPr>
        <w:t>根据业务经办实际使用情况，不断优化待遇支付、参保征缴、财务等版块业务需求，累计处理业务处室提交的信息化运维协调单7378个。</w:t>
      </w:r>
      <w:r>
        <w:rPr>
          <w:rFonts w:hint="default" w:ascii="Times New Roman" w:hAnsi="Times New Roman" w:eastAsia="方正仿宋_GBK" w:cs="Times New Roman"/>
          <w:bCs/>
          <w:color w:val="000000"/>
          <w:sz w:val="32"/>
          <w:szCs w:val="32"/>
        </w:rPr>
        <w:t>常态化做好医保数据中心运行监管，通过增加监控手段、固化巡检机制、告警及时处置等措施，有力保障数据中心安全平稳运行。积极主动服务两定医药机构，完成191家定点医疗机构的现场评估检查工作，加快医疗机构电子凭证、IOT、追溯码等信息化应用，进一步提升医保基金监管能力；为356家新增两定机构办理医保专网接入服务，为700余家两定机构提供联网环境现场审查和培训、机构联网接入和网络变更服务，指导38家三级医疗机构医保专网改造工作。</w:t>
      </w:r>
    </w:p>
    <w:p w14:paraId="0B33EE27">
      <w:pPr>
        <w:keepNext w:val="0"/>
        <w:keepLines w:val="0"/>
        <w:pageBreakBefore w:val="0"/>
        <w:wordWrap/>
        <w:topLinePunct w:val="0"/>
        <w:bidi w:val="0"/>
        <w:spacing w:line="560" w:lineRule="exact"/>
        <w:ind w:firstLine="643" w:firstLineChars="200"/>
        <w:outlineLvl w:val="1"/>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sz w:val="32"/>
          <w:szCs w:val="32"/>
        </w:rPr>
        <w:t>咨询服务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持续加强与市12345热线的协作，坚持三方通话和知识库共享机制，充分发挥驻点12345热线医保专区作用，在线接听12345转接的市民来电，及时转派、跟踪、督办12345工单，保障市民涉医保诉求得到及时有效解决，今年累计</w:t>
      </w:r>
      <w:r>
        <w:rPr>
          <w:rFonts w:hint="default" w:ascii="Times New Roman" w:hAnsi="Times New Roman" w:eastAsia="方正仿宋_GBK" w:cs="Times New Roman"/>
          <w:sz w:val="32"/>
          <w:szCs w:val="32"/>
        </w:rPr>
        <w:t>签收转派12345工单13396件，办理办结9294件，按时办结率98.28%，问题解决率96.09%，群众满意度94.27%</w:t>
      </w:r>
      <w:r>
        <w:rPr>
          <w:rFonts w:hint="default" w:ascii="Times New Roman" w:hAnsi="Times New Roman" w:eastAsia="方正仿宋_GBK" w:cs="Times New Roman"/>
          <w:kern w:val="0"/>
          <w:sz w:val="32"/>
          <w:szCs w:val="32"/>
        </w:rPr>
        <w:t>。积极响应省医保局工作部署，完成“江苏医保云APP互动问题”回复</w:t>
      </w:r>
      <w:r>
        <w:rPr>
          <w:rFonts w:hint="default" w:ascii="Times New Roman" w:hAnsi="Times New Roman" w:eastAsia="方正仿宋_GBK" w:cs="Times New Roman"/>
          <w:sz w:val="32"/>
          <w:szCs w:val="32"/>
        </w:rPr>
        <w:t>28159条。截至12月31日，话务系统知识库累计880条、维护1178条；持续优化升级智能客服系统，共录入智能客服脚本4484个，搭建应用场景29个，优化完善扩展问25780条，稳步提升智能客服应答准确率和服务效能。2024年，12393热线来电总量99.54万个，人工接通率94.98%，智能客服接听7.41万个，自助语音应答10.43万个，综合接通率95.91%，服务满意度达99.83%。</w:t>
      </w:r>
    </w:p>
    <w:p w14:paraId="43DEE081">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napToGrid/>
          <w:spacing w:val="-4"/>
          <w:kern w:val="2"/>
          <w:sz w:val="32"/>
          <w:szCs w:val="32"/>
        </w:rPr>
        <w:t>六、存在问题及原因分析</w:t>
      </w:r>
    </w:p>
    <w:p w14:paraId="17CE39BA">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存在问题</w:t>
      </w:r>
    </w:p>
    <w:p w14:paraId="4CD5CC71">
      <w:pPr>
        <w:pStyle w:val="5"/>
        <w:keepNext w:val="0"/>
        <w:keepLines w:val="0"/>
        <w:pageBreakBefore w:val="0"/>
        <w:numPr>
          <w:ilvl w:val="0"/>
          <w:numId w:val="3"/>
        </w:numPr>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网采率治理进入攻坚阶段，仍需久久为功；</w:t>
      </w:r>
    </w:p>
    <w:p w14:paraId="7B2B2AC9">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部分医用耗材挂网价格虚高，仍需攻坚克难；</w:t>
      </w:r>
    </w:p>
    <w:p w14:paraId="6AE402F9">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药品、耗材集中结算指标偏低，仍需联动监管；</w:t>
      </w:r>
    </w:p>
    <w:p w14:paraId="4113913E">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信息平台业务需求高速发展，运维力量亟待扩充。</w:t>
      </w:r>
    </w:p>
    <w:p w14:paraId="4FC34C27">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）原因分析</w:t>
      </w:r>
    </w:p>
    <w:p w14:paraId="2DEB44B9">
      <w:pPr>
        <w:pStyle w:val="5"/>
        <w:keepNext w:val="0"/>
        <w:keepLines w:val="0"/>
        <w:pageBreakBefore w:val="0"/>
        <w:wordWrap/>
        <w:topLinePunct w:val="0"/>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心实际职能多，相当于三个正处级事业单位的职能。招采改革服务对象涉及全市超4100家定点医药机构、超8400家医药企业；信息化服务为全市各级经办单位及定点医药机构提供医保信息系统建设运维和信息管理服务；咨询服务面向全市850余万参保群众，提供7×24小时全天候在线解答。改革任务艰巨，仅有16个全额拨款编制，30个员额编制（其中21名12393热线咨询员编制），不能满足深化医保改革实际需要。</w:t>
      </w:r>
    </w:p>
    <w:p w14:paraId="4662E207">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val="0"/>
          <w:snapToGrid/>
          <w:spacing w:val="-4"/>
          <w:kern w:val="2"/>
          <w:sz w:val="32"/>
          <w:szCs w:val="32"/>
        </w:rPr>
      </w:pPr>
      <w:r>
        <w:rPr>
          <w:rFonts w:hint="default" w:ascii="Times New Roman" w:hAnsi="Times New Roman" w:eastAsia="方正仿宋_GBK" w:cs="Times New Roman"/>
          <w:b w:val="0"/>
          <w:bCs w:val="0"/>
          <w:snapToGrid/>
          <w:spacing w:val="-4"/>
          <w:kern w:val="2"/>
          <w:sz w:val="32"/>
          <w:szCs w:val="32"/>
          <w:lang w:val="en-US" w:eastAsia="zh-CN"/>
        </w:rPr>
        <w:t>七</w:t>
      </w:r>
      <w:r>
        <w:rPr>
          <w:rFonts w:hint="default" w:ascii="Times New Roman" w:hAnsi="Times New Roman" w:eastAsia="方正仿宋_GBK" w:cs="Times New Roman"/>
          <w:b w:val="0"/>
          <w:bCs w:val="0"/>
          <w:snapToGrid/>
          <w:spacing w:val="-4"/>
          <w:kern w:val="2"/>
          <w:sz w:val="32"/>
          <w:szCs w:val="32"/>
        </w:rPr>
        <w:t>、</w:t>
      </w:r>
      <w:r>
        <w:rPr>
          <w:rFonts w:hint="default" w:ascii="Times New Roman" w:hAnsi="Times New Roman" w:eastAsia="方正仿宋_GBK" w:cs="Times New Roman"/>
          <w:b w:val="0"/>
          <w:bCs w:val="0"/>
          <w:snapToGrid/>
          <w:spacing w:val="-4"/>
          <w:kern w:val="2"/>
          <w:sz w:val="32"/>
          <w:szCs w:val="32"/>
          <w:lang w:val="en-US" w:eastAsia="zh-CN"/>
        </w:rPr>
        <w:t>有关建议</w:t>
      </w:r>
    </w:p>
    <w:p w14:paraId="0047CCBF">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color w:val="000000" w:themeColor="text1"/>
          <w:spacing w:val="-4"/>
          <w:kern w:val="2"/>
          <w:sz w:val="32"/>
          <w:szCs w:val="32"/>
          <w14:textFill>
            <w14:solidFill>
              <w14:schemeClr w14:val="tx1"/>
            </w14:solidFill>
          </w14:textFill>
        </w:rPr>
      </w:pPr>
      <w:r>
        <w:rPr>
          <w:rFonts w:hint="default" w:ascii="Times New Roman" w:hAnsi="Times New Roman" w:eastAsia="方正仿宋_GBK" w:cs="Times New Roman"/>
          <w:snapToGrid/>
          <w:color w:val="000000" w:themeColor="text1"/>
          <w:kern w:val="2"/>
          <w:sz w:val="32"/>
          <w:szCs w:val="32"/>
          <w:lang w:val="en-US" w:eastAsia="zh-CN" w:bidi="ar-SA"/>
          <w14:textFill>
            <w14:solidFill>
              <w14:schemeClr w14:val="tx1"/>
            </w14:solidFill>
          </w14:textFill>
        </w:rPr>
        <w:t>（一）进一</w:t>
      </w:r>
      <w:r>
        <w:rPr>
          <w:rFonts w:hint="default" w:ascii="Times New Roman" w:hAnsi="Times New Roman" w:eastAsia="方正仿宋_GBK" w:cs="Times New Roman"/>
          <w:bCs/>
          <w:snapToGrid/>
          <w:color w:val="000000" w:themeColor="text1"/>
          <w:spacing w:val="-4"/>
          <w:kern w:val="2"/>
          <w:sz w:val="32"/>
          <w:szCs w:val="32"/>
          <w:lang w:val="en-US" w:eastAsia="zh-CN"/>
          <w14:textFill>
            <w14:solidFill>
              <w14:schemeClr w14:val="tx1"/>
            </w14:solidFill>
          </w14:textFill>
        </w:rPr>
        <w:t xml:space="preserve">步加强预算资金管理 </w:t>
      </w:r>
    </w:p>
    <w:p w14:paraId="2C0091EF">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 xml:space="preserve">一是提高预算编制水平。建立以绩效为导向的预算编制模式，实现单位职责、年度计划和预算资金之间的有机衔接，提高预算编制的科学性和合理性水平。二是做好绩效运行双监控。在执行过程中应对照设定的预算绩效目标，定期对履职状况和资金进度进行梳理，确保各项目标任务保质保量完成，强化预算执行刚性。在进度明显异常的情况下，应及时会同财政部门进行恰当处理。 </w:t>
      </w:r>
    </w:p>
    <w:p w14:paraId="7E6A1380">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color w:val="000000" w:themeColor="text1"/>
          <w:spacing w:val="-4"/>
          <w:kern w:val="2"/>
          <w:sz w:val="32"/>
          <w:szCs w:val="32"/>
          <w14:textFill>
            <w14:solidFill>
              <w14:schemeClr w14:val="tx1"/>
            </w14:solidFill>
          </w14:textFill>
        </w:rPr>
      </w:pPr>
      <w:r>
        <w:rPr>
          <w:rFonts w:hint="default" w:ascii="Times New Roman" w:hAnsi="Times New Roman" w:eastAsia="方正仿宋_GBK" w:cs="Times New Roman"/>
          <w:bCs/>
          <w:snapToGrid/>
          <w:color w:val="000000" w:themeColor="text1"/>
          <w:spacing w:val="-4"/>
          <w:kern w:val="2"/>
          <w:sz w:val="32"/>
          <w:szCs w:val="32"/>
          <w:lang w:val="en-US" w:eastAsia="zh-CN"/>
          <w14:textFill>
            <w14:solidFill>
              <w14:schemeClr w14:val="tx1"/>
            </w14:solidFill>
          </w14:textFill>
        </w:rPr>
        <w:t xml:space="preserve">（二）进一步完善单位履职管理 </w:t>
      </w:r>
    </w:p>
    <w:p w14:paraId="1980300A">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一是加强绩效目标管理。对部门职能、重点工作和有关的资金政策进行归纳总结，按重要性原则逐项认定有关工作的预期效益效果，概括提炼出核心的关键性指标，并予以固化和量化，以真正发挥绩效目标的约束性考核意义。二是建立事前绩效评估机制。对新出台的相关政策开展事前绩效评估，按照“监管规则、预警调度、异常处置、反馈评价”四个环节全程闭环管理，提高整体绩效。</w:t>
      </w:r>
    </w:p>
    <w:p w14:paraId="35F45865">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 w:val="0"/>
          <w:bCs/>
          <w:snapToGrid/>
          <w:spacing w:val="-4"/>
          <w:kern w:val="2"/>
          <w:sz w:val="32"/>
          <w:szCs w:val="32"/>
        </w:rPr>
      </w:pPr>
      <w:r>
        <w:rPr>
          <w:rFonts w:hint="default" w:ascii="Times New Roman" w:hAnsi="Times New Roman" w:eastAsia="方正仿宋_GBK" w:cs="Times New Roman"/>
          <w:b w:val="0"/>
          <w:bCs/>
          <w:snapToGrid/>
          <w:spacing w:val="-4"/>
          <w:kern w:val="2"/>
          <w:sz w:val="32"/>
          <w:szCs w:val="32"/>
        </w:rPr>
        <w:t>八、评价工作开展情况有其他需说明的情况</w:t>
      </w:r>
    </w:p>
    <w:p w14:paraId="67A46014">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一</w:t>
      </w: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自评价工作开展情况</w:t>
      </w:r>
    </w:p>
    <w:p w14:paraId="09DC5C2B">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1. 自评价基本情况</w:t>
      </w:r>
    </w:p>
    <w:p w14:paraId="7ADE0178">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本次绩效自评价对象是2024年度本中心部门整体情况。目的是通过开展部门整体履职绩效自评价，促进部门提升部门预算绩效管理水平，保障部门更好地履行职责。评价坚持科学规范、客观公正的原则。绩效评价指标体系由决策、过程、履职、效益、满意度五部分组成。</w:t>
      </w:r>
    </w:p>
    <w:p w14:paraId="41F4FFD3">
      <w:pPr>
        <w:keepNext w:val="0"/>
        <w:keepLines w:val="0"/>
        <w:pageBreakBefore w:val="0"/>
        <w:widowControl w:val="0"/>
        <w:numPr>
          <w:ilvl w:val="0"/>
          <w:numId w:val="3"/>
        </w:numPr>
        <w:kinsoku/>
        <w:wordWrap/>
        <w:overflowPunct w:val="0"/>
        <w:topLinePunct w:val="0"/>
        <w:autoSpaceDE/>
        <w:autoSpaceDN/>
        <w:bidi w:val="0"/>
        <w:snapToGrid/>
        <w:spacing w:line="560" w:lineRule="exact"/>
        <w:ind w:left="0" w:leftChars="0"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自评价实施情况</w:t>
      </w:r>
    </w:p>
    <w:p w14:paraId="354115AB">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本次自评价包括调研沟通、收集评价资料、确定指标体系、明确绩效评价方法、形成评价方案、对照体系评分、撰写评价报告等步骤。</w:t>
      </w:r>
    </w:p>
    <w:p w14:paraId="7626144A">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lang w:val="en-US" w:eastAsia="zh-CN" w:bidi="ar-SA"/>
        </w:rPr>
      </w:pPr>
      <w:r>
        <w:rPr>
          <w:rFonts w:hint="default" w:ascii="Times New Roman" w:hAnsi="Times New Roman" w:eastAsia="方正仿宋_GBK" w:cs="Times New Roman"/>
          <w:snapToGrid/>
          <w:color w:val="auto"/>
          <w:kern w:val="2"/>
          <w:sz w:val="32"/>
          <w:szCs w:val="32"/>
          <w:lang w:val="en-US" w:eastAsia="zh-CN" w:bidi="ar-SA"/>
        </w:rPr>
        <w:t>指标体系选取代表性且能代表中心重点履职绩效的核心指标，指标评分根据各项指标在评价体系中的重要程度确定。绩效评价结果实施百分制和四级分类：等级为优、良、中、差。</w:t>
      </w:r>
    </w:p>
    <w:p w14:paraId="6A8AE832">
      <w:pPr>
        <w:keepNext w:val="0"/>
        <w:keepLines w:val="0"/>
        <w:pageBreakBefore w:val="0"/>
        <w:widowControl w:val="0"/>
        <w:kinsoku/>
        <w:wordWrap/>
        <w:overflowPunct w:val="0"/>
        <w:topLinePunct w:val="0"/>
        <w:autoSpaceDE/>
        <w:autoSpaceDN/>
        <w:bidi w:val="0"/>
        <w:snapToGrid/>
        <w:spacing w:line="560" w:lineRule="exact"/>
        <w:ind w:firstLine="624" w:firstLineChars="2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二</w:t>
      </w:r>
      <w:r>
        <w:rPr>
          <w:rFonts w:hint="default" w:ascii="Times New Roman" w:hAnsi="Times New Roman" w:eastAsia="方正仿宋_GBK" w:cs="Times New Roman"/>
          <w:bCs/>
          <w:snapToGrid/>
          <w:spacing w:val="-4"/>
          <w:kern w:val="2"/>
          <w:sz w:val="32"/>
          <w:szCs w:val="32"/>
          <w:lang w:eastAsia="zh-CN"/>
        </w:rPr>
        <w:t>）</w:t>
      </w:r>
      <w:r>
        <w:rPr>
          <w:rFonts w:hint="default" w:ascii="Times New Roman" w:hAnsi="Times New Roman" w:eastAsia="方正仿宋_GBK" w:cs="Times New Roman"/>
          <w:bCs/>
          <w:snapToGrid/>
          <w:spacing w:val="-4"/>
          <w:kern w:val="2"/>
          <w:sz w:val="32"/>
          <w:szCs w:val="32"/>
        </w:rPr>
        <w:t>其他需要说明的地方</w:t>
      </w:r>
    </w:p>
    <w:p w14:paraId="419CF173">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本中心无其他要说明的情况。</w:t>
      </w:r>
    </w:p>
    <w:p w14:paraId="6DB13554">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pPr>
      <w:r>
        <w:rPr>
          <w:rFonts w:hint="default" w:ascii="Times New Roman" w:hAnsi="Times New Roman" w:eastAsia="方正仿宋_GBK" w:cs="Times New Roman"/>
          <w:bCs/>
          <w:snapToGrid/>
          <w:spacing w:val="-4"/>
          <w:kern w:val="2"/>
          <w:sz w:val="32"/>
          <w:szCs w:val="32"/>
        </w:rPr>
        <w:t>附件：指标体系得分情况</w:t>
      </w:r>
    </w:p>
    <w:p w14:paraId="7462F6A7">
      <w:pPr>
        <w:keepNext w:val="0"/>
        <w:keepLines w:val="0"/>
        <w:pageBreakBefore w:val="0"/>
        <w:widowControl w:val="0"/>
        <w:kinsoku/>
        <w:wordWrap/>
        <w:overflowPunct w:val="0"/>
        <w:topLinePunct w:val="0"/>
        <w:autoSpaceDE/>
        <w:autoSpaceDN/>
        <w:bidi w:val="0"/>
        <w:snapToGrid/>
        <w:spacing w:line="560" w:lineRule="exact"/>
        <w:ind w:firstLine="600"/>
        <w:textAlignment w:val="auto"/>
        <w:rPr>
          <w:rFonts w:hint="default" w:ascii="Times New Roman" w:hAnsi="Times New Roman" w:eastAsia="方正仿宋_GBK" w:cs="Times New Roman"/>
          <w:bCs/>
          <w:snapToGrid/>
          <w:spacing w:val="-4"/>
          <w:kern w:val="2"/>
          <w:sz w:val="32"/>
          <w:szCs w:val="32"/>
        </w:rPr>
        <w:sectPr>
          <w:footerReference r:id="rId5" w:type="default"/>
          <w:pgSz w:w="11907" w:h="16839"/>
          <w:pgMar w:top="2098" w:right="1588" w:bottom="1701" w:left="1588" w:header="1247" w:footer="1247" w:gutter="0"/>
          <w:pgNumType w:fmt="numberInDash" w:start="1"/>
          <w:cols w:space="720" w:num="1"/>
        </w:sectPr>
      </w:pPr>
    </w:p>
    <w:p w14:paraId="439B2DD7">
      <w:pPr>
        <w:keepNext w:val="0"/>
        <w:keepLines w:val="0"/>
        <w:pageBreakBefore w:val="0"/>
        <w:wordWrap/>
        <w:topLinePunct w:val="0"/>
        <w:bidi w:val="0"/>
        <w:spacing w:before="133" w:line="560" w:lineRule="exact"/>
        <w:rPr>
          <w:rFonts w:hint="default" w:ascii="Times New Roman" w:hAnsi="Times New Roman" w:eastAsia="方正仿宋_GBK" w:cs="Times New Roman"/>
          <w:sz w:val="31"/>
          <w:szCs w:val="31"/>
        </w:rPr>
      </w:pPr>
      <w:r>
        <w:rPr>
          <w:rFonts w:hint="default" w:ascii="Times New Roman" w:hAnsi="Times New Roman" w:eastAsia="方正仿宋_GBK" w:cs="Times New Roman"/>
          <w:spacing w:val="-3"/>
          <w:sz w:val="31"/>
          <w:szCs w:val="31"/>
        </w:rPr>
        <w:t>附件</w:t>
      </w:r>
    </w:p>
    <w:p w14:paraId="659BF0C3">
      <w:pPr>
        <w:keepNext w:val="0"/>
        <w:keepLines w:val="0"/>
        <w:pageBreakBefore w:val="0"/>
        <w:wordWrap/>
        <w:topLinePunct w:val="0"/>
        <w:bidi w:val="0"/>
        <w:spacing w:line="560" w:lineRule="exact"/>
        <w:jc w:val="center"/>
        <w:rPr>
          <w:rFonts w:hint="default" w:ascii="Times New Roman" w:hAnsi="Times New Roman" w:eastAsia="方正仿宋_GBK" w:cs="Times New Roman"/>
          <w:spacing w:val="-1"/>
          <w:sz w:val="36"/>
          <w:szCs w:val="36"/>
        </w:rPr>
      </w:pPr>
    </w:p>
    <w:p w14:paraId="496D9A91">
      <w:pPr>
        <w:keepNext w:val="0"/>
        <w:keepLines w:val="0"/>
        <w:pageBreakBefore w:val="0"/>
        <w:wordWrap/>
        <w:topLinePunct w:val="0"/>
        <w:bidi w:val="0"/>
        <w:spacing w:line="560" w:lineRule="exact"/>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b/>
          <w:bCs/>
          <w:spacing w:val="-1"/>
          <w:sz w:val="36"/>
          <w:szCs w:val="36"/>
        </w:rPr>
        <w:t>部门整体绩效评价指标体系得分情</w:t>
      </w:r>
      <w:r>
        <w:rPr>
          <w:rFonts w:hint="default" w:ascii="Times New Roman" w:hAnsi="Times New Roman" w:eastAsia="方正仿宋_GBK" w:cs="Times New Roman"/>
          <w:b/>
          <w:bCs/>
          <w:sz w:val="36"/>
          <w:szCs w:val="36"/>
        </w:rPr>
        <w:t>况</w:t>
      </w:r>
    </w:p>
    <w:p w14:paraId="5C879A3A">
      <w:pPr>
        <w:pStyle w:val="2"/>
        <w:rPr>
          <w:rFonts w:hint="default" w:ascii="Times New Roman" w:hAnsi="Times New Roman" w:eastAsia="方正仿宋_GBK" w:cs="Times New Roman"/>
          <w:sz w:val="36"/>
          <w:szCs w:val="36"/>
        </w:rPr>
      </w:pPr>
    </w:p>
    <w:tbl>
      <w:tblPr>
        <w:tblStyle w:val="9"/>
        <w:tblW w:w="13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0"/>
        <w:gridCol w:w="1662"/>
        <w:gridCol w:w="3357"/>
        <w:gridCol w:w="1489"/>
        <w:gridCol w:w="738"/>
        <w:gridCol w:w="4673"/>
        <w:gridCol w:w="737"/>
      </w:tblGrid>
      <w:tr w14:paraId="3868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6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50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DE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2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全年指标值</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66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权重</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9290">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指标值完成情况</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54B">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自评得分</w:t>
            </w:r>
          </w:p>
        </w:tc>
      </w:tr>
      <w:tr w14:paraId="4741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915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决策</w:t>
            </w:r>
          </w:p>
          <w:p w14:paraId="3F7E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（12分）</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计划制定（4分）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3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中长期规划制定健全性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7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C43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4DB4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285C">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8C2C">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工作计划制定健全性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9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54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1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D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1201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3A18">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70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目标设定（4分）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E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绩效目标合理性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04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46F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合理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7072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94C7">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518B">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5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绩效指标明确性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9A1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1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C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32C2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3081">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8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预算编制（4分）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E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预算编制科学性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F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8E8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科学</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0CB6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8265">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D4C0">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D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预算编制规范性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D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1B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32F0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8A8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过程</w:t>
            </w:r>
          </w:p>
          <w:p w14:paraId="7C1E4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（39分）</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D2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预算执行（16分）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预算调整率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E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6C6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D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1EF4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14ED">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B505C">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支付进度符合率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8F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0522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EAD9">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95B8">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F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0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2B8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16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bookmarkStart w:id="1" w:name="_GoBack"/>
            <w:bookmarkEnd w:id="1"/>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F2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r>
      <w:tr w14:paraId="70B1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7D61">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123B">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9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结转结余率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F8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1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133C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1612">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D0B5F">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D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公用经费控制率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1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30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64A1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5790">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3911">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“三公经费”变动率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2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77F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D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55F8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E315">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B8D4">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政府采购执行率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A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A0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16D9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546D">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4225">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A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非税收入预算完成率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B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4817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7F6F1">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5E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预算管理（12分）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预算管理制度健全性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B5D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5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4720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AB8E">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DE6C">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资金使用合规性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F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合规</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E7A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3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合规</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9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7B7B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070E">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1E2D">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绩效管理覆盖率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4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9B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07B9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85B9">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0D59">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基础信息完善性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3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完善</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6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完善</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1E96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8A8F">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4F03">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预决算信息公开度</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F1B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公开</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3B9F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7550">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B547">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非税收入管理合规性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合规</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2DE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合规</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w:t>
            </w:r>
          </w:p>
        </w:tc>
      </w:tr>
      <w:tr w14:paraId="4E31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7D39">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0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资产管理（3分）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资产管理制度健全性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8E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3984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606D">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8B57">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资产管理规范性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FC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D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7EFD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48C7">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52C2">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固定资产利用率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532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6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08ED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6940">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16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项目管理（2分）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项目管理制度健全性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4B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6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E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0706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4CA5">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E97C">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项目管理制度执行规范性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D5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5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72A2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35F5">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7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人员管理（3分）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人员管理制度健全性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BD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健全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B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6E3A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5BE3">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C4AD">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人员管理制度执行有效性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6FF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A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65DB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6546">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5AA1">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在职人员控制率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1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50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1EF6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E75D">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8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机构建设（3分）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组织建设工作及时完成率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4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7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03A6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D07A">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2ABF">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业务学习与培训及时完成率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2C7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B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D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7D0F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6C79">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F008">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A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纪检监察工作有效性</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EE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有效</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6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w:t>
            </w:r>
          </w:p>
        </w:tc>
      </w:tr>
      <w:tr w14:paraId="5EE1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863B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履职</w:t>
            </w:r>
          </w:p>
          <w:p w14:paraId="42B26A17">
            <w:pPr>
              <w:pStyle w:val="2"/>
              <w:ind w:left="0" w:leftChars="0" w:firstLine="0" w:firstLineChars="0"/>
              <w:rPr>
                <w:rFonts w:hint="eastAsia"/>
              </w:rPr>
            </w:pPr>
            <w:r>
              <w:rPr>
                <w:rFonts w:hint="eastAsia" w:ascii="宋体" w:hAnsi="宋体" w:eastAsia="宋体" w:cs="宋体"/>
                <w:i w:val="0"/>
                <w:iCs w:val="0"/>
                <w:snapToGrid w:val="0"/>
                <w:color w:val="000000"/>
                <w:kern w:val="0"/>
                <w:sz w:val="18"/>
                <w:szCs w:val="18"/>
                <w:u w:val="none"/>
                <w:lang w:val="en-US" w:eastAsia="zh-CN" w:bidi="ar"/>
              </w:rPr>
              <w:t>（30分）</w:t>
            </w:r>
          </w:p>
        </w:tc>
        <w:tc>
          <w:tcPr>
            <w:tcW w:w="1662" w:type="dxa"/>
            <w:vMerge w:val="restart"/>
            <w:tcBorders>
              <w:top w:val="single" w:color="000000" w:sz="4" w:space="0"/>
              <w:left w:val="single" w:color="000000" w:sz="4" w:space="0"/>
              <w:right w:val="single" w:color="000000" w:sz="4" w:space="0"/>
            </w:tcBorders>
            <w:shd w:val="clear" w:color="auto" w:fill="auto"/>
            <w:vAlign w:val="center"/>
          </w:tcPr>
          <w:p w14:paraId="3242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集中结算系统运行维护</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结算额</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B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＝280亿元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2B1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＝280亿元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5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454A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B91B">
            <w:pPr>
              <w:jc w:val="center"/>
              <w:rPr>
                <w:rFonts w:hint="eastAsia" w:ascii="宋体" w:hAnsi="宋体" w:eastAsia="宋体" w:cs="宋体"/>
                <w:i w:val="0"/>
                <w:iCs w:val="0"/>
                <w:color w:val="000000"/>
                <w:sz w:val="18"/>
                <w:szCs w:val="18"/>
                <w:u w:val="none"/>
              </w:rPr>
            </w:pPr>
          </w:p>
        </w:tc>
        <w:tc>
          <w:tcPr>
            <w:tcW w:w="1662" w:type="dxa"/>
            <w:vMerge w:val="continue"/>
            <w:tcBorders>
              <w:left w:val="single" w:color="000000" w:sz="4" w:space="0"/>
              <w:bottom w:val="single" w:color="000000" w:sz="4" w:space="0"/>
              <w:right w:val="single" w:color="000000" w:sz="4" w:space="0"/>
            </w:tcBorders>
            <w:shd w:val="clear" w:color="auto" w:fill="auto"/>
            <w:vAlign w:val="center"/>
          </w:tcPr>
          <w:p w14:paraId="4A2643A6">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1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结算差错率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0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0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170D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983D">
            <w:pPr>
              <w:jc w:val="center"/>
              <w:rPr>
                <w:rFonts w:hint="eastAsia" w:ascii="宋体" w:hAnsi="宋体" w:eastAsia="宋体" w:cs="宋体"/>
                <w:i w:val="0"/>
                <w:iCs w:val="0"/>
                <w:color w:val="000000"/>
                <w:sz w:val="18"/>
                <w:szCs w:val="18"/>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C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医疗保障信息系统运行维护</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3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核心系统网络平稳运行时间</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D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41E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5C6E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D004">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right w:val="single" w:color="000000" w:sz="4" w:space="0"/>
            </w:tcBorders>
            <w:shd w:val="clear" w:color="auto" w:fill="auto"/>
            <w:vAlign w:val="center"/>
          </w:tcPr>
          <w:p w14:paraId="0DE9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医疗保障咨询服务</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来电量 </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＝100万元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76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4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＝100万元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1514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A767">
            <w:pPr>
              <w:jc w:val="center"/>
              <w:rPr>
                <w:rFonts w:hint="eastAsia" w:ascii="宋体" w:hAnsi="宋体" w:eastAsia="宋体" w:cs="宋体"/>
                <w:i w:val="0"/>
                <w:iCs w:val="0"/>
                <w:color w:val="000000"/>
                <w:sz w:val="18"/>
                <w:szCs w:val="18"/>
                <w:u w:val="none"/>
              </w:rPr>
            </w:pPr>
          </w:p>
        </w:tc>
        <w:tc>
          <w:tcPr>
            <w:tcW w:w="1662" w:type="dxa"/>
            <w:vMerge w:val="continue"/>
            <w:tcBorders>
              <w:left w:val="single" w:color="000000" w:sz="4" w:space="0"/>
              <w:bottom w:val="single" w:color="000000" w:sz="4" w:space="0"/>
              <w:right w:val="single" w:color="000000" w:sz="4" w:space="0"/>
            </w:tcBorders>
            <w:shd w:val="clear" w:color="auto" w:fill="auto"/>
            <w:vAlign w:val="center"/>
          </w:tcPr>
          <w:p w14:paraId="1199653A">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D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接通率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2A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C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4058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F12A">
            <w:pPr>
              <w:jc w:val="center"/>
              <w:rPr>
                <w:rFonts w:hint="eastAsia" w:ascii="宋体" w:hAnsi="宋体" w:eastAsia="宋体" w:cs="宋体"/>
                <w:i w:val="0"/>
                <w:iCs w:val="0"/>
                <w:color w:val="000000"/>
                <w:sz w:val="18"/>
                <w:szCs w:val="18"/>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医用耗材、药品集中采购、集中结算、监测</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“南京平台”网上采购总金额</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7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＝110亿元</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64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D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＝110亿元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8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5648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9EB4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效益指标</w:t>
            </w:r>
          </w:p>
          <w:p w14:paraId="0735D694">
            <w:pPr>
              <w:pStyle w:val="2"/>
              <w:ind w:left="0" w:leftChars="0" w:firstLine="0" w:firstLineChars="0"/>
              <w:rPr>
                <w:rFonts w:hint="eastAsia"/>
              </w:rPr>
            </w:pPr>
            <w:r>
              <w:rPr>
                <w:rFonts w:hint="eastAsia" w:ascii="宋体" w:hAnsi="宋体" w:eastAsia="宋体" w:cs="宋体"/>
                <w:i w:val="0"/>
                <w:iCs w:val="0"/>
                <w:snapToGrid w:val="0"/>
                <w:color w:val="000000"/>
                <w:kern w:val="0"/>
                <w:sz w:val="18"/>
                <w:szCs w:val="18"/>
                <w:u w:val="none"/>
                <w:lang w:val="en-US" w:eastAsia="zh-CN" w:bidi="ar"/>
              </w:rPr>
              <w:t>（15分）</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有效监督和规范医疗机构采购结算行为</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通过数据统计分析，督导医疗机构按期付款</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59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已通过数据统计分析，督导医疗机构按期付款</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C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2F84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F487">
            <w:pPr>
              <w:jc w:val="center"/>
              <w:rPr>
                <w:rFonts w:hint="eastAsia" w:ascii="宋体" w:hAnsi="宋体" w:eastAsia="宋体" w:cs="宋体"/>
                <w:i w:val="0"/>
                <w:iCs w:val="0"/>
                <w:color w:val="000000"/>
                <w:sz w:val="18"/>
                <w:szCs w:val="18"/>
                <w:u w:val="none"/>
              </w:rPr>
            </w:pP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E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解决老百姓看病贵问题</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持续进行</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6F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D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持续进行</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2D0C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EAEA">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E855">
            <w:pPr>
              <w:jc w:val="center"/>
              <w:rPr>
                <w:rFonts w:hint="eastAsia" w:ascii="宋体" w:hAnsi="宋体" w:eastAsia="宋体" w:cs="宋体"/>
                <w:i w:val="0"/>
                <w:iCs w:val="0"/>
                <w:color w:val="000000"/>
                <w:sz w:val="18"/>
                <w:szCs w:val="18"/>
                <w:u w:val="none"/>
              </w:rPr>
            </w:pP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网络接入机构对网络使用满意度</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持续提高</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4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持续提高</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w:t>
            </w:r>
          </w:p>
        </w:tc>
      </w:tr>
      <w:tr w14:paraId="4B26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8ED">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满意度指标</w:t>
            </w:r>
          </w:p>
          <w:p w14:paraId="787BD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（4分）</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D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2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服务满意度</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9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4F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4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4</w:t>
            </w:r>
          </w:p>
        </w:tc>
      </w:tr>
      <w:tr w14:paraId="6B05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3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26A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得分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30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98</w:t>
            </w:r>
          </w:p>
        </w:tc>
      </w:tr>
    </w:tbl>
    <w:p w14:paraId="73093BC1">
      <w:pPr>
        <w:keepNext w:val="0"/>
        <w:keepLines w:val="0"/>
        <w:pageBreakBefore w:val="0"/>
        <w:wordWrap/>
        <w:topLinePunct w:val="0"/>
        <w:bidi w:val="0"/>
        <w:spacing w:line="560" w:lineRule="exact"/>
        <w:rPr>
          <w:rFonts w:hint="default" w:ascii="Times New Roman" w:hAnsi="Times New Roman" w:eastAsia="方正仿宋_GBK" w:cs="Times New Roman"/>
        </w:rPr>
      </w:pPr>
    </w:p>
    <w:sectPr>
      <w:footerReference r:id="rId6" w:type="default"/>
      <w:pgSz w:w="16839" w:h="11907"/>
      <w:pgMar w:top="2098" w:right="1587" w:bottom="1701" w:left="1587" w:header="0" w:footer="120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FECF5CAA-04C1-4705-9571-73673B554B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9C07">
    <w:pPr>
      <w:pStyle w:val="3"/>
      <w:spacing w:line="14" w:lineRule="auto"/>
      <w:rPr>
        <w:sz w:val="20"/>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0C8C4">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10C8C4">
                    <w:pPr>
                      <w:pStyle w:val="6"/>
                    </w:pPr>
                  </w:p>
                </w:txbxContent>
              </v:textbox>
            </v:shape>
          </w:pict>
        </mc:Fallback>
      </mc:AlternateContent>
    </w:r>
    <w:r>
      <w:rPr>
        <w:sz w:val="32"/>
      </w:rPr>
      <mc:AlternateContent>
        <mc:Choice Requires="wps">
          <w:drawing>
            <wp:anchor distT="0" distB="0" distL="114300" distR="114300" simplePos="0" relativeHeight="251659264" behindDoc="1" locked="0" layoutInCell="1" allowOverlap="1">
              <wp:simplePos x="0" y="0"/>
              <wp:positionH relativeFrom="page">
                <wp:posOffset>3502025</wp:posOffset>
              </wp:positionH>
              <wp:positionV relativeFrom="page">
                <wp:posOffset>9705975</wp:posOffset>
              </wp:positionV>
              <wp:extent cx="560705" cy="20383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60705" cy="203835"/>
                      </a:xfrm>
                      <a:prstGeom prst="rect">
                        <a:avLst/>
                      </a:prstGeom>
                      <a:noFill/>
                      <a:ln>
                        <a:noFill/>
                      </a:ln>
                    </wps:spPr>
                    <wps:txbx>
                      <w:txbxContent>
                        <w:p w14:paraId="583D7F23">
                          <w:pPr>
                            <w:spacing w:line="321" w:lineRule="exact"/>
                            <w:ind w:left="20"/>
                            <w:rPr>
                              <w:sz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5.75pt;margin-top:764.25pt;height:16.05pt;width:44.15pt;mso-position-horizontal-relative:page;mso-position-vertical-relative:page;z-index:-251657216;mso-width-relative:page;mso-height-relative:page;" filled="f" stroked="f" coordsize="21600,21600" o:gfxdata="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jO+S2gAAAA0BAAAPAAAAAAAAAAEA&#10;IAAAACIAAABkcnMvZG93bnJldi54bWxQSwECFAAUAAAACACHTuJACkveIA0CAAAEBAAADgAAAAAA&#10;AAABACAAAAApAQAAZHJzL2Uyb0RvYy54bWxQSwUGAAAAAAYABgBZAQAAqAUAAAAA&#10;">
              <v:fill on="f" focussize="0,0"/>
              <v:stroke on="f"/>
              <v:imagedata o:title=""/>
              <o:lock v:ext="edit" aspectratio="f"/>
              <v:textbox inset="0mm,0mm,0mm,0mm">
                <w:txbxContent>
                  <w:p w14:paraId="583D7F23">
                    <w:pPr>
                      <w:spacing w:line="321" w:lineRule="exact"/>
                      <w:ind w:left="20"/>
                      <w:rPr>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A86E">
    <w:pPr>
      <w:spacing w:line="186" w:lineRule="auto"/>
      <w:ind w:left="367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5F4C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35F4C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B9A3">
    <w:pPr>
      <w:spacing w:line="186" w:lineRule="auto"/>
      <w:ind w:left="660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075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C07532">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5B3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CBB20"/>
    <w:multiLevelType w:val="singleLevel"/>
    <w:tmpl w:val="A2BCBB20"/>
    <w:lvl w:ilvl="0" w:tentative="0">
      <w:start w:val="1"/>
      <w:numFmt w:val="chineseCounting"/>
      <w:suff w:val="nothing"/>
      <w:lvlText w:val="%1、"/>
      <w:lvlJc w:val="left"/>
      <w:rPr>
        <w:rFonts w:hint="eastAsia"/>
      </w:rPr>
    </w:lvl>
  </w:abstractNum>
  <w:abstractNum w:abstractNumId="1">
    <w:nsid w:val="D1CEAE98"/>
    <w:multiLevelType w:val="singleLevel"/>
    <w:tmpl w:val="D1CEAE98"/>
    <w:lvl w:ilvl="0" w:tentative="0">
      <w:start w:val="4"/>
      <w:numFmt w:val="decimal"/>
      <w:suff w:val="space"/>
      <w:lvlText w:val="%1."/>
      <w:lvlJc w:val="left"/>
    </w:lvl>
  </w:abstractNum>
  <w:abstractNum w:abstractNumId="2">
    <w:nsid w:val="10FA914D"/>
    <w:multiLevelType w:val="singleLevel"/>
    <w:tmpl w:val="10FA914D"/>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3YzZiNDc2MzBlNjJlMWE5Y2E3M2JkMWJiYzc3NDgifQ=="/>
  </w:docVars>
  <w:rsids>
    <w:rsidRoot w:val="00F41D42"/>
    <w:rsid w:val="00050FF4"/>
    <w:rsid w:val="002D3058"/>
    <w:rsid w:val="004661D6"/>
    <w:rsid w:val="004A169E"/>
    <w:rsid w:val="00DE26C3"/>
    <w:rsid w:val="00F41D42"/>
    <w:rsid w:val="012A2737"/>
    <w:rsid w:val="016A2D2B"/>
    <w:rsid w:val="017C6D0A"/>
    <w:rsid w:val="018B399A"/>
    <w:rsid w:val="01F14123"/>
    <w:rsid w:val="0213766F"/>
    <w:rsid w:val="0233386D"/>
    <w:rsid w:val="025040F1"/>
    <w:rsid w:val="02FF13B4"/>
    <w:rsid w:val="04640655"/>
    <w:rsid w:val="04B639ED"/>
    <w:rsid w:val="04E05F55"/>
    <w:rsid w:val="05130541"/>
    <w:rsid w:val="05196970"/>
    <w:rsid w:val="057B2147"/>
    <w:rsid w:val="05BA68D3"/>
    <w:rsid w:val="05BF70EF"/>
    <w:rsid w:val="05D76C05"/>
    <w:rsid w:val="062F07EF"/>
    <w:rsid w:val="06427A14"/>
    <w:rsid w:val="064473D8"/>
    <w:rsid w:val="06E15F8D"/>
    <w:rsid w:val="07C66F31"/>
    <w:rsid w:val="085F360E"/>
    <w:rsid w:val="089B2A12"/>
    <w:rsid w:val="09041F23"/>
    <w:rsid w:val="090441B5"/>
    <w:rsid w:val="096D58B6"/>
    <w:rsid w:val="099E3CC2"/>
    <w:rsid w:val="09BE5E69"/>
    <w:rsid w:val="0A0501E5"/>
    <w:rsid w:val="0A0A75A9"/>
    <w:rsid w:val="0A2D5046"/>
    <w:rsid w:val="0A3D797F"/>
    <w:rsid w:val="0A432ABB"/>
    <w:rsid w:val="0ACB31DC"/>
    <w:rsid w:val="0B2C3CB2"/>
    <w:rsid w:val="0BCB720C"/>
    <w:rsid w:val="0C400C1E"/>
    <w:rsid w:val="0CBC3C5C"/>
    <w:rsid w:val="0D040542"/>
    <w:rsid w:val="0D381F49"/>
    <w:rsid w:val="0D5F5E5E"/>
    <w:rsid w:val="0E0407B3"/>
    <w:rsid w:val="0E0A0C1C"/>
    <w:rsid w:val="0F566DED"/>
    <w:rsid w:val="0FE4171C"/>
    <w:rsid w:val="1089363C"/>
    <w:rsid w:val="114C6D00"/>
    <w:rsid w:val="11710023"/>
    <w:rsid w:val="11943BFC"/>
    <w:rsid w:val="11A50FAD"/>
    <w:rsid w:val="120F5BA7"/>
    <w:rsid w:val="129E4D32"/>
    <w:rsid w:val="12D544CC"/>
    <w:rsid w:val="13493B2F"/>
    <w:rsid w:val="137361BF"/>
    <w:rsid w:val="13C702B9"/>
    <w:rsid w:val="14C10B72"/>
    <w:rsid w:val="1528122B"/>
    <w:rsid w:val="152D239E"/>
    <w:rsid w:val="15C076B6"/>
    <w:rsid w:val="16A448E1"/>
    <w:rsid w:val="16AF2E4B"/>
    <w:rsid w:val="16C62AAA"/>
    <w:rsid w:val="17284F4E"/>
    <w:rsid w:val="17577BA6"/>
    <w:rsid w:val="17812C12"/>
    <w:rsid w:val="183D3240"/>
    <w:rsid w:val="18AB01A9"/>
    <w:rsid w:val="19770DA0"/>
    <w:rsid w:val="19D04438"/>
    <w:rsid w:val="19D57874"/>
    <w:rsid w:val="19EE2A43"/>
    <w:rsid w:val="1A391BE4"/>
    <w:rsid w:val="1AFD2829"/>
    <w:rsid w:val="1BAF1D5E"/>
    <w:rsid w:val="1BCF5ECE"/>
    <w:rsid w:val="1C177904"/>
    <w:rsid w:val="1C977962"/>
    <w:rsid w:val="1D0853CB"/>
    <w:rsid w:val="1E0148FF"/>
    <w:rsid w:val="1EF02DBA"/>
    <w:rsid w:val="1F745799"/>
    <w:rsid w:val="1FAE4192"/>
    <w:rsid w:val="1FDA1374"/>
    <w:rsid w:val="202F0792"/>
    <w:rsid w:val="20566C4C"/>
    <w:rsid w:val="205D447F"/>
    <w:rsid w:val="20F841CE"/>
    <w:rsid w:val="21090163"/>
    <w:rsid w:val="216B6728"/>
    <w:rsid w:val="21B737ED"/>
    <w:rsid w:val="21CF4F08"/>
    <w:rsid w:val="21EE4E29"/>
    <w:rsid w:val="220628F4"/>
    <w:rsid w:val="2297354C"/>
    <w:rsid w:val="22C5630B"/>
    <w:rsid w:val="22F34840"/>
    <w:rsid w:val="235C6929"/>
    <w:rsid w:val="23A14683"/>
    <w:rsid w:val="23D34A58"/>
    <w:rsid w:val="23F32A04"/>
    <w:rsid w:val="24255939"/>
    <w:rsid w:val="244D256E"/>
    <w:rsid w:val="245B4F6C"/>
    <w:rsid w:val="2480073C"/>
    <w:rsid w:val="24AF7273"/>
    <w:rsid w:val="255C003A"/>
    <w:rsid w:val="259A7E0E"/>
    <w:rsid w:val="25AA7790"/>
    <w:rsid w:val="25B54658"/>
    <w:rsid w:val="25BD776E"/>
    <w:rsid w:val="26103D41"/>
    <w:rsid w:val="2611324B"/>
    <w:rsid w:val="26753BA5"/>
    <w:rsid w:val="28013161"/>
    <w:rsid w:val="281000B2"/>
    <w:rsid w:val="288B76AF"/>
    <w:rsid w:val="28BF12E2"/>
    <w:rsid w:val="291C47AB"/>
    <w:rsid w:val="292024ED"/>
    <w:rsid w:val="298A7967"/>
    <w:rsid w:val="29E759AC"/>
    <w:rsid w:val="2A3417CE"/>
    <w:rsid w:val="2A8D4A33"/>
    <w:rsid w:val="2B2F07C6"/>
    <w:rsid w:val="2C016606"/>
    <w:rsid w:val="2C51483E"/>
    <w:rsid w:val="2C6207B3"/>
    <w:rsid w:val="2C7212B2"/>
    <w:rsid w:val="2C862667"/>
    <w:rsid w:val="2CB569CB"/>
    <w:rsid w:val="2D4542D1"/>
    <w:rsid w:val="2E4902E4"/>
    <w:rsid w:val="2E731311"/>
    <w:rsid w:val="2E8828A0"/>
    <w:rsid w:val="2F234B0C"/>
    <w:rsid w:val="2F237507"/>
    <w:rsid w:val="2FBB3103"/>
    <w:rsid w:val="2FE60013"/>
    <w:rsid w:val="30085A89"/>
    <w:rsid w:val="307B44AD"/>
    <w:rsid w:val="308E2433"/>
    <w:rsid w:val="30A6152A"/>
    <w:rsid w:val="30FD3114"/>
    <w:rsid w:val="31071DAF"/>
    <w:rsid w:val="31104BF6"/>
    <w:rsid w:val="312446ED"/>
    <w:rsid w:val="3135465C"/>
    <w:rsid w:val="313E1763"/>
    <w:rsid w:val="319C581A"/>
    <w:rsid w:val="31B40132"/>
    <w:rsid w:val="31C50251"/>
    <w:rsid w:val="32990C1B"/>
    <w:rsid w:val="33276D40"/>
    <w:rsid w:val="332D1A72"/>
    <w:rsid w:val="336B25B7"/>
    <w:rsid w:val="34654700"/>
    <w:rsid w:val="34687967"/>
    <w:rsid w:val="347812EA"/>
    <w:rsid w:val="34E70363"/>
    <w:rsid w:val="35373099"/>
    <w:rsid w:val="35871397"/>
    <w:rsid w:val="35B51FCD"/>
    <w:rsid w:val="35D47CEB"/>
    <w:rsid w:val="361E5AAD"/>
    <w:rsid w:val="36723C5D"/>
    <w:rsid w:val="372B119E"/>
    <w:rsid w:val="377E2745"/>
    <w:rsid w:val="37906A90"/>
    <w:rsid w:val="38302EA1"/>
    <w:rsid w:val="3848736B"/>
    <w:rsid w:val="3882287D"/>
    <w:rsid w:val="388A1B86"/>
    <w:rsid w:val="38BC4459"/>
    <w:rsid w:val="38F97737"/>
    <w:rsid w:val="39056EA6"/>
    <w:rsid w:val="395C1320"/>
    <w:rsid w:val="39DF446A"/>
    <w:rsid w:val="3A1F632C"/>
    <w:rsid w:val="3AD76784"/>
    <w:rsid w:val="3C08753D"/>
    <w:rsid w:val="3C2D6FA3"/>
    <w:rsid w:val="3C97441D"/>
    <w:rsid w:val="3CB6615D"/>
    <w:rsid w:val="3D1D2B74"/>
    <w:rsid w:val="3D22462E"/>
    <w:rsid w:val="3DCF7074"/>
    <w:rsid w:val="3E380FED"/>
    <w:rsid w:val="3F185CE9"/>
    <w:rsid w:val="3F3548E7"/>
    <w:rsid w:val="3F6F342F"/>
    <w:rsid w:val="3FC45529"/>
    <w:rsid w:val="409246F9"/>
    <w:rsid w:val="40955117"/>
    <w:rsid w:val="40A610D2"/>
    <w:rsid w:val="415A507A"/>
    <w:rsid w:val="418A27A2"/>
    <w:rsid w:val="418A4550"/>
    <w:rsid w:val="420E5181"/>
    <w:rsid w:val="428B0580"/>
    <w:rsid w:val="42EF7075"/>
    <w:rsid w:val="433648C8"/>
    <w:rsid w:val="438751EB"/>
    <w:rsid w:val="43CB7A41"/>
    <w:rsid w:val="43D17451"/>
    <w:rsid w:val="43F11770"/>
    <w:rsid w:val="445D3323"/>
    <w:rsid w:val="45581B00"/>
    <w:rsid w:val="459C62AC"/>
    <w:rsid w:val="45AA51C1"/>
    <w:rsid w:val="45CE5353"/>
    <w:rsid w:val="45F01042"/>
    <w:rsid w:val="45F34DBA"/>
    <w:rsid w:val="45FD5543"/>
    <w:rsid w:val="460721F4"/>
    <w:rsid w:val="46117DCE"/>
    <w:rsid w:val="46584C1D"/>
    <w:rsid w:val="46607F75"/>
    <w:rsid w:val="46EE10DD"/>
    <w:rsid w:val="47343F9D"/>
    <w:rsid w:val="47970751"/>
    <w:rsid w:val="47DA1580"/>
    <w:rsid w:val="4882244C"/>
    <w:rsid w:val="48AD10E3"/>
    <w:rsid w:val="490177EE"/>
    <w:rsid w:val="49507E2D"/>
    <w:rsid w:val="4ACC6C2B"/>
    <w:rsid w:val="4B0A2EE0"/>
    <w:rsid w:val="4B2477C4"/>
    <w:rsid w:val="4B86222C"/>
    <w:rsid w:val="4BC00F91"/>
    <w:rsid w:val="4D12588A"/>
    <w:rsid w:val="4D3957CF"/>
    <w:rsid w:val="4D4952BF"/>
    <w:rsid w:val="4D812CAB"/>
    <w:rsid w:val="4E0062C6"/>
    <w:rsid w:val="4E2D0D44"/>
    <w:rsid w:val="4E5230ED"/>
    <w:rsid w:val="4E5B174E"/>
    <w:rsid w:val="4E8570D3"/>
    <w:rsid w:val="4EB42C0C"/>
    <w:rsid w:val="4EC47EFE"/>
    <w:rsid w:val="4EC70B92"/>
    <w:rsid w:val="4F022BC1"/>
    <w:rsid w:val="4F626B0C"/>
    <w:rsid w:val="4F7C19D7"/>
    <w:rsid w:val="4F7D56F4"/>
    <w:rsid w:val="4FB21842"/>
    <w:rsid w:val="501D2B90"/>
    <w:rsid w:val="50243DC2"/>
    <w:rsid w:val="50580E3B"/>
    <w:rsid w:val="505C355C"/>
    <w:rsid w:val="509E5922"/>
    <w:rsid w:val="51007ABC"/>
    <w:rsid w:val="51C60943"/>
    <w:rsid w:val="523E73BD"/>
    <w:rsid w:val="52954BD5"/>
    <w:rsid w:val="530D4FE1"/>
    <w:rsid w:val="531D0034"/>
    <w:rsid w:val="53803A05"/>
    <w:rsid w:val="53BE4412"/>
    <w:rsid w:val="5402441A"/>
    <w:rsid w:val="540957A8"/>
    <w:rsid w:val="543071C7"/>
    <w:rsid w:val="546B0211"/>
    <w:rsid w:val="549C486F"/>
    <w:rsid w:val="54E076AF"/>
    <w:rsid w:val="5536643F"/>
    <w:rsid w:val="559030DD"/>
    <w:rsid w:val="55AD12E1"/>
    <w:rsid w:val="55B67452"/>
    <w:rsid w:val="55C26090"/>
    <w:rsid w:val="55E53FF3"/>
    <w:rsid w:val="56184DAE"/>
    <w:rsid w:val="56375DED"/>
    <w:rsid w:val="56443CDA"/>
    <w:rsid w:val="564C33E3"/>
    <w:rsid w:val="56C27AA3"/>
    <w:rsid w:val="575A3A78"/>
    <w:rsid w:val="57EE0EDB"/>
    <w:rsid w:val="57F64A80"/>
    <w:rsid w:val="583A6878"/>
    <w:rsid w:val="58871392"/>
    <w:rsid w:val="590649AC"/>
    <w:rsid w:val="5975743C"/>
    <w:rsid w:val="59975605"/>
    <w:rsid w:val="5A651A7F"/>
    <w:rsid w:val="5AA85CB2"/>
    <w:rsid w:val="5AC54FD9"/>
    <w:rsid w:val="5ADA7015"/>
    <w:rsid w:val="5B8F47E5"/>
    <w:rsid w:val="5BA94177"/>
    <w:rsid w:val="5BD72ACA"/>
    <w:rsid w:val="5C046165"/>
    <w:rsid w:val="5C660C34"/>
    <w:rsid w:val="5C6A22F2"/>
    <w:rsid w:val="5D706898"/>
    <w:rsid w:val="5D9C768D"/>
    <w:rsid w:val="5DC92D73"/>
    <w:rsid w:val="5E082F75"/>
    <w:rsid w:val="5E331DA0"/>
    <w:rsid w:val="5E8A398A"/>
    <w:rsid w:val="5F1A2F60"/>
    <w:rsid w:val="5F37766E"/>
    <w:rsid w:val="5F93686E"/>
    <w:rsid w:val="600B06A1"/>
    <w:rsid w:val="60D74816"/>
    <w:rsid w:val="60F65306"/>
    <w:rsid w:val="62CA4CBA"/>
    <w:rsid w:val="63006744"/>
    <w:rsid w:val="634E12E9"/>
    <w:rsid w:val="638B251E"/>
    <w:rsid w:val="638C3D00"/>
    <w:rsid w:val="63994E45"/>
    <w:rsid w:val="63B23767"/>
    <w:rsid w:val="63C35974"/>
    <w:rsid w:val="63E37DC4"/>
    <w:rsid w:val="63F41DF6"/>
    <w:rsid w:val="63FE4BFE"/>
    <w:rsid w:val="64055D26"/>
    <w:rsid w:val="6408782B"/>
    <w:rsid w:val="644E43EC"/>
    <w:rsid w:val="648375B3"/>
    <w:rsid w:val="649305A2"/>
    <w:rsid w:val="64B67287"/>
    <w:rsid w:val="64E53F06"/>
    <w:rsid w:val="64FB113D"/>
    <w:rsid w:val="65066A4F"/>
    <w:rsid w:val="652C57C1"/>
    <w:rsid w:val="65404DA2"/>
    <w:rsid w:val="656A4F30"/>
    <w:rsid w:val="65735178"/>
    <w:rsid w:val="66846F11"/>
    <w:rsid w:val="678A0557"/>
    <w:rsid w:val="67DB7004"/>
    <w:rsid w:val="68134AF3"/>
    <w:rsid w:val="6844538E"/>
    <w:rsid w:val="68A5389A"/>
    <w:rsid w:val="69604F28"/>
    <w:rsid w:val="699B2EEF"/>
    <w:rsid w:val="699D27C3"/>
    <w:rsid w:val="69CB37D4"/>
    <w:rsid w:val="69F47F81"/>
    <w:rsid w:val="69F9236F"/>
    <w:rsid w:val="6A1E618D"/>
    <w:rsid w:val="6A42067F"/>
    <w:rsid w:val="6AAB2CE4"/>
    <w:rsid w:val="6AFB5D68"/>
    <w:rsid w:val="6B8E2D0B"/>
    <w:rsid w:val="6C060AF4"/>
    <w:rsid w:val="6C7A3A61"/>
    <w:rsid w:val="6CB71DEE"/>
    <w:rsid w:val="6DAA3701"/>
    <w:rsid w:val="6DF42BCE"/>
    <w:rsid w:val="6E9511A0"/>
    <w:rsid w:val="6EBC193D"/>
    <w:rsid w:val="6ED547AD"/>
    <w:rsid w:val="6EDB7343"/>
    <w:rsid w:val="6EE175F6"/>
    <w:rsid w:val="6F5E0C47"/>
    <w:rsid w:val="6F6124E5"/>
    <w:rsid w:val="6FB62831"/>
    <w:rsid w:val="6FC3292A"/>
    <w:rsid w:val="700944CA"/>
    <w:rsid w:val="70D42D33"/>
    <w:rsid w:val="71516A3F"/>
    <w:rsid w:val="71B341DA"/>
    <w:rsid w:val="71B92164"/>
    <w:rsid w:val="71CF1CEE"/>
    <w:rsid w:val="72293711"/>
    <w:rsid w:val="722F2426"/>
    <w:rsid w:val="724203AC"/>
    <w:rsid w:val="72435ED2"/>
    <w:rsid w:val="72450B4B"/>
    <w:rsid w:val="7258177F"/>
    <w:rsid w:val="72916C3D"/>
    <w:rsid w:val="72D91EE3"/>
    <w:rsid w:val="72FA6ED8"/>
    <w:rsid w:val="73197EB0"/>
    <w:rsid w:val="73412411"/>
    <w:rsid w:val="738844E4"/>
    <w:rsid w:val="7399049F"/>
    <w:rsid w:val="739A7D73"/>
    <w:rsid w:val="74A23383"/>
    <w:rsid w:val="74A52150"/>
    <w:rsid w:val="74AD75FB"/>
    <w:rsid w:val="74C838E9"/>
    <w:rsid w:val="74FA4F6E"/>
    <w:rsid w:val="75285ECE"/>
    <w:rsid w:val="75330480"/>
    <w:rsid w:val="755F295A"/>
    <w:rsid w:val="75671ED7"/>
    <w:rsid w:val="75B27CA5"/>
    <w:rsid w:val="762F50EB"/>
    <w:rsid w:val="7650072C"/>
    <w:rsid w:val="7672573C"/>
    <w:rsid w:val="7677439C"/>
    <w:rsid w:val="77366005"/>
    <w:rsid w:val="776D4E82"/>
    <w:rsid w:val="77903967"/>
    <w:rsid w:val="779571D0"/>
    <w:rsid w:val="77DE46D3"/>
    <w:rsid w:val="780044BA"/>
    <w:rsid w:val="780D0085"/>
    <w:rsid w:val="78236589"/>
    <w:rsid w:val="7826607A"/>
    <w:rsid w:val="784A33A1"/>
    <w:rsid w:val="785E22FD"/>
    <w:rsid w:val="786F4218"/>
    <w:rsid w:val="78F310EF"/>
    <w:rsid w:val="7903548D"/>
    <w:rsid w:val="7AFE508C"/>
    <w:rsid w:val="7B6475E5"/>
    <w:rsid w:val="7BBB4D2B"/>
    <w:rsid w:val="7BC02341"/>
    <w:rsid w:val="7BEE2D8C"/>
    <w:rsid w:val="7C6C7B24"/>
    <w:rsid w:val="7CB41EA6"/>
    <w:rsid w:val="7CF20E4F"/>
    <w:rsid w:val="7CF72490"/>
    <w:rsid w:val="7D0F3580"/>
    <w:rsid w:val="7D7E4262"/>
    <w:rsid w:val="7E260B81"/>
    <w:rsid w:val="7E8648D2"/>
    <w:rsid w:val="7EB26C0F"/>
    <w:rsid w:val="7ED22AB7"/>
    <w:rsid w:val="7F10538E"/>
    <w:rsid w:val="7F152450"/>
    <w:rsid w:val="7F4B0CA8"/>
    <w:rsid w:val="7FA868F2"/>
    <w:rsid w:val="7FC8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line="360" w:lineRule="auto"/>
      <w:ind w:firstLine="420" w:firstLineChars="200"/>
    </w:pPr>
    <w:rPr>
      <w:sz w:val="28"/>
      <w:szCs w:val="24"/>
    </w:rPr>
  </w:style>
  <w:style w:type="paragraph" w:styleId="3">
    <w:name w:val="Body Text"/>
    <w:basedOn w:val="1"/>
    <w:semiHidden/>
    <w:unhideWhenUsed/>
    <w:qFormat/>
    <w:uiPriority w:val="99"/>
    <w:pPr>
      <w:spacing w:after="120"/>
    </w:pPr>
  </w:style>
  <w:style w:type="paragraph" w:styleId="4">
    <w:name w:val="Block Text"/>
    <w:basedOn w:val="1"/>
    <w:unhideWhenUsed/>
    <w:qFormat/>
    <w:uiPriority w:val="99"/>
    <w:pPr>
      <w:spacing w:after="120"/>
      <w:ind w:left="1440" w:leftChars="700" w:right="1440" w:rightChars="700"/>
    </w:pPr>
  </w:style>
  <w:style w:type="paragraph" w:styleId="5">
    <w:name w:val="index 4"/>
    <w:next w:val="1"/>
    <w:unhideWhenUsed/>
    <w:qFormat/>
    <w:uiPriority w:val="99"/>
    <w:pPr>
      <w:widowControl w:val="0"/>
      <w:spacing w:line="360" w:lineRule="auto"/>
      <w:ind w:firstLine="840" w:firstLineChars="4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99"/>
    <w:pPr>
      <w:spacing w:beforeAutospacing="1" w:afterAutospacing="1"/>
    </w:pPr>
    <w:rPr>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51"/>
    <w:basedOn w:val="10"/>
    <w:qFormat/>
    <w:uiPriority w:val="0"/>
    <w:rPr>
      <w:rFonts w:ascii="仿宋" w:hAnsi="仿宋" w:eastAsia="仿宋" w:cs="仿宋"/>
      <w:color w:val="000000"/>
      <w:sz w:val="28"/>
      <w:szCs w:val="28"/>
      <w:u w:val="none"/>
    </w:rPr>
  </w:style>
  <w:style w:type="character" w:customStyle="1" w:styleId="13">
    <w:name w:val="font61"/>
    <w:basedOn w:val="10"/>
    <w:qFormat/>
    <w:uiPriority w:val="0"/>
    <w:rPr>
      <w:rFonts w:hint="default" w:ascii="Times New Roman" w:hAnsi="Times New Roman" w:cs="Times New Roman"/>
      <w:color w:val="000000"/>
      <w:sz w:val="28"/>
      <w:szCs w:val="28"/>
      <w:u w:val="none"/>
    </w:rPr>
  </w:style>
  <w:style w:type="character" w:customStyle="1" w:styleId="14">
    <w:name w:val="font21"/>
    <w:basedOn w:val="10"/>
    <w:qFormat/>
    <w:uiPriority w:val="0"/>
    <w:rPr>
      <w:rFonts w:hint="eastAsia" w:ascii="仿宋" w:hAnsi="仿宋" w:eastAsia="仿宋" w:cs="仿宋"/>
      <w:b/>
      <w:bCs/>
      <w:color w:val="000000"/>
      <w:sz w:val="24"/>
      <w:szCs w:val="24"/>
      <w:u w:val="none"/>
    </w:rPr>
  </w:style>
  <w:style w:type="character" w:customStyle="1" w:styleId="15">
    <w:name w:val="font31"/>
    <w:basedOn w:val="10"/>
    <w:qFormat/>
    <w:uiPriority w:val="0"/>
    <w:rPr>
      <w:rFonts w:hint="eastAsia" w:ascii="仿宋" w:hAnsi="仿宋" w:eastAsia="仿宋" w:cs="仿宋"/>
      <w:color w:val="000000"/>
      <w:sz w:val="24"/>
      <w:szCs w:val="24"/>
      <w:u w:val="none"/>
    </w:rPr>
  </w:style>
  <w:style w:type="character" w:customStyle="1" w:styleId="16">
    <w:name w:val="font0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5769</Words>
  <Characters>6562</Characters>
  <Lines>53</Lines>
  <Paragraphs>15</Paragraphs>
  <TotalTime>0</TotalTime>
  <ScaleCrop>false</ScaleCrop>
  <LinksUpToDate>false</LinksUpToDate>
  <CharactersWithSpaces>6577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2023-06-15T19:37:00Z</dcterms:created>
  <dc:creator>周明</dc:creator>
  <cp:lastModifiedBy>沈谢洪</cp:lastModifiedBy>
  <dcterms:modified xsi:type="dcterms:W3CDTF">2025-11-13T09:12:49Z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2023-06-15T21:40:05Z</vt:filetime>
  </property>
  <property fmtid="{D5CDD505-2E9C-101B-9397-08002B2CF9AE}" pid="4" name="KSOProductBuildVer">
    <vt:lpwstr>2052-12.1.0.20305</vt:lpwstr>
  </property>
  <property fmtid="{D5CDD505-2E9C-101B-9397-08002B2CF9AE}" pid="5" name="ICV">
    <vt:lpwstr>F99D27AE24804E5DB911A77898B76D87_13</vt:lpwstr>
  </property>
  <property fmtid="{D5CDD505-2E9C-101B-9397-08002B2CF9AE}" pid="6" name="KSOTemplateDocerSaveRecord">
    <vt:lpwstr>eyJoZGlkIjoiY2I3YzZiNDc2MzBlNjJlMWE5Y2E3M2JkMWJiYzc3NDgiLCJ1c2VySWQiOiI0ODA3Mzc3NTAifQ==</vt:lpwstr>
  </property>
</Properties>
</file>