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F03B22">
        <w:trPr>
          <w:trHeight w:val="3592"/>
        </w:trPr>
        <w:tc>
          <w:tcPr>
            <w:tcW w:w="10402" w:type="dxa"/>
            <w:tcBorders>
              <w:top w:val="nil"/>
              <w:left w:val="nil"/>
              <w:bottom w:val="nil"/>
              <w:right w:val="nil"/>
            </w:tcBorders>
          </w:tcPr>
          <w:p w:rsidR="00F03B22" w:rsidRDefault="00F03B22">
            <w:pPr>
              <w:pStyle w:val="a4"/>
              <w:spacing w:line="360" w:lineRule="auto"/>
              <w:rPr>
                <w:rFonts w:ascii="仿宋" w:eastAsia="仿宋" w:hAnsi="仿宋" w:cs="仿宋"/>
                <w:b/>
                <w:bCs/>
                <w:color w:val="FF0000"/>
                <w:sz w:val="22"/>
                <w:szCs w:val="22"/>
              </w:rPr>
            </w:pPr>
          </w:p>
        </w:tc>
      </w:tr>
      <w:tr w:rsidR="00F03B22">
        <w:trPr>
          <w:trHeight w:val="4945"/>
        </w:trPr>
        <w:tc>
          <w:tcPr>
            <w:tcW w:w="10402" w:type="dxa"/>
            <w:tcBorders>
              <w:top w:val="nil"/>
              <w:left w:val="nil"/>
              <w:bottom w:val="nil"/>
              <w:right w:val="nil"/>
            </w:tcBorders>
          </w:tcPr>
          <w:p w:rsidR="00F03B22" w:rsidRDefault="00F74FDD">
            <w:pPr>
              <w:ind w:rightChars="129" w:right="284"/>
              <w:jc w:val="center"/>
              <w:rPr>
                <w:rFonts w:ascii="宋体" w:eastAsia="宋体" w:hAnsi="宋体" w:cs="宋体"/>
                <w:b/>
                <w:bCs/>
                <w:sz w:val="52"/>
                <w:szCs w:val="52"/>
                <w:lang w:val="en-US"/>
              </w:rPr>
            </w:pPr>
            <w:r>
              <w:rPr>
                <w:rFonts w:ascii="宋体" w:eastAsia="宋体" w:hAnsi="宋体" w:cs="宋体"/>
                <w:b/>
                <w:sz w:val="52"/>
              </w:rPr>
              <w:t xml:space="preserve">2024年度 </w:t>
            </w:r>
            <w:r>
              <w:rPr>
                <w:rFonts w:ascii="宋体" w:eastAsia="宋体" w:hAnsi="宋体" w:cs="宋体"/>
                <w:b/>
                <w:sz w:val="52"/>
              </w:rPr>
              <w:br/>
              <w:t xml:space="preserve">南京市医疗保险管理中心 </w:t>
            </w:r>
            <w:r>
              <w:rPr>
                <w:rFonts w:ascii="宋体" w:eastAsia="宋体" w:hAnsi="宋体" w:cs="宋体"/>
                <w:b/>
                <w:sz w:val="52"/>
              </w:rPr>
              <w:br/>
              <w:t>单位决算公开</w:t>
            </w:r>
          </w:p>
        </w:tc>
      </w:tr>
    </w:tbl>
    <w:p w:rsidR="00F03B22" w:rsidRDefault="00F03B22">
      <w:pPr>
        <w:ind w:rightChars="129" w:right="284"/>
        <w:jc w:val="both"/>
        <w:rPr>
          <w:rFonts w:ascii="宋体" w:eastAsia="宋体" w:hAnsi="宋体" w:cs="宋体"/>
          <w:b/>
          <w:bCs/>
          <w:sz w:val="52"/>
          <w:szCs w:val="52"/>
        </w:rPr>
        <w:sectPr w:rsidR="00F03B22">
          <w:headerReference w:type="default" r:id="rId8"/>
          <w:headerReference w:type="first" r:id="rId9"/>
          <w:pgSz w:w="11906" w:h="16838"/>
          <w:pgMar w:top="1580" w:right="700" w:bottom="770" w:left="1020" w:header="170" w:footer="280" w:gutter="0"/>
          <w:cols w:space="720"/>
          <w:formProt w:val="0"/>
          <w:titlePg/>
          <w:docGrid w:linePitch="100"/>
        </w:sectPr>
      </w:pPr>
    </w:p>
    <w:p w:rsidR="00F03B22" w:rsidRDefault="00F03B22">
      <w:pPr>
        <w:pStyle w:val="a4"/>
        <w:spacing w:before="4"/>
        <w:rPr>
          <w:rFonts w:ascii="华文仿宋" w:eastAsia="华文仿宋" w:hAnsi="华文仿宋" w:cs="仿宋"/>
          <w:sz w:val="10"/>
        </w:rPr>
      </w:pPr>
    </w:p>
    <w:p w:rsidR="00F03B22" w:rsidRDefault="00F74FDD">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F03B22" w:rsidRDefault="00F03B22">
      <w:pPr>
        <w:pStyle w:val="a4"/>
        <w:spacing w:before="7"/>
        <w:rPr>
          <w:rFonts w:ascii="仿宋" w:eastAsia="仿宋" w:hAnsi="仿宋" w:cs="仿宋"/>
          <w:sz w:val="27"/>
        </w:rPr>
      </w:pPr>
    </w:p>
    <w:p w:rsidR="00F03B22" w:rsidRDefault="00F74FDD">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 xml:space="preserve">第一部分 </w:t>
      </w:r>
      <w:r>
        <w:rPr>
          <w:rFonts w:ascii="黑体" w:eastAsia="黑体" w:hAnsi="黑体" w:cs="黑体" w:hint="eastAsia"/>
          <w:lang w:val="en-US"/>
        </w:rPr>
        <w:t>单位</w:t>
      </w:r>
      <w:r>
        <w:rPr>
          <w:rFonts w:ascii="黑体" w:eastAsia="黑体" w:hAnsi="黑体" w:cs="黑体" w:hint="eastAsia"/>
        </w:rPr>
        <w:t>概况</w:t>
      </w:r>
    </w:p>
    <w:p w:rsidR="00F03B22" w:rsidRDefault="00F74FDD">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F03B22" w:rsidRDefault="00F74FDD">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F03B22" w:rsidRDefault="00F74FDD">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三、2024年度主要工作完成情况</w:t>
      </w:r>
    </w:p>
    <w:p w:rsidR="00F03B22" w:rsidRDefault="00F74FDD">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 2024年度</w:t>
      </w:r>
      <w:r>
        <w:rPr>
          <w:rFonts w:ascii="黑体" w:eastAsia="黑体" w:hAnsi="黑体" w:cs="黑体"/>
        </w:rPr>
        <w:t>单位决算表</w:t>
      </w:r>
    </w:p>
    <w:p w:rsidR="00F03B22" w:rsidRDefault="00F74FDD">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F03B22" w:rsidRDefault="00F74FDD">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F03B22" w:rsidRDefault="00F74FDD">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F03B22" w:rsidRDefault="00F74FDD">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F03B22" w:rsidRDefault="00F74FDD">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F03B22" w:rsidRDefault="00F74FDD">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 xml:space="preserve">六、财政拨款基本支出决算表（经济科目） </w:t>
      </w:r>
    </w:p>
    <w:p w:rsidR="00F03B22" w:rsidRDefault="00F74FDD">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F03B22" w:rsidRDefault="00F74FDD">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F03B22" w:rsidRDefault="00F74FDD">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F03B22" w:rsidRDefault="00F74FDD">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F03B22" w:rsidRDefault="00F74FDD">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F03B22" w:rsidRDefault="00F74FDD">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F03B22" w:rsidRDefault="00F74FDD">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F03B22" w:rsidRDefault="00F74FDD">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 2024年度</w:t>
      </w:r>
      <w:r>
        <w:rPr>
          <w:rFonts w:ascii="黑体" w:eastAsia="黑体" w:hAnsi="黑体" w:cs="黑体"/>
        </w:rPr>
        <w:t>单位决算情况说明</w:t>
      </w:r>
    </w:p>
    <w:p w:rsidR="00F03B22" w:rsidRDefault="00F74FDD">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 名词解释</w:t>
      </w:r>
    </w:p>
    <w:p w:rsidR="00F03B22" w:rsidRDefault="00F03B22">
      <w:pPr>
        <w:pStyle w:val="a4"/>
        <w:spacing w:line="235" w:lineRule="auto"/>
        <w:ind w:leftChars="300" w:left="669" w:right="2414" w:hanging="9"/>
        <w:jc w:val="both"/>
        <w:rPr>
          <w:rFonts w:ascii="仿宋" w:eastAsia="仿宋" w:hAnsi="仿宋" w:cs="仿宋"/>
        </w:rPr>
        <w:sectPr w:rsidR="00F03B22">
          <w:footerReference w:type="default" r:id="rId10"/>
          <w:pgSz w:w="11906" w:h="16838"/>
          <w:pgMar w:top="1580" w:right="700" w:bottom="770" w:left="1020" w:header="283" w:footer="280" w:gutter="0"/>
          <w:pgNumType w:fmt="numberInDash" w:start="1"/>
          <w:cols w:space="720"/>
          <w:formProt w:val="0"/>
          <w:docGrid w:linePitch="100"/>
        </w:sectPr>
      </w:pPr>
    </w:p>
    <w:p w:rsidR="00F03B22" w:rsidRDefault="00F03B22">
      <w:pPr>
        <w:pStyle w:val="a4"/>
        <w:spacing w:before="1"/>
        <w:rPr>
          <w:rFonts w:ascii="华文仿宋" w:eastAsia="华文仿宋" w:hAnsi="华文仿宋" w:cs="仿宋"/>
          <w:sz w:val="14"/>
        </w:rPr>
      </w:pPr>
    </w:p>
    <w:p w:rsidR="00F03B22" w:rsidRDefault="00F74FDD">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F03B22" w:rsidRDefault="00F03B22">
      <w:pPr>
        <w:ind w:rightChars="229" w:right="504"/>
        <w:jc w:val="both"/>
      </w:pPr>
    </w:p>
    <w:p w:rsidR="00F03B22" w:rsidRDefault="00F74FDD">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承担职工基本医疗保险、城乡居民基本医疗保险、生育保险、大病保险、医疗救助、长期护理保险等医疗保障经办工作。编制医疗保障基金预算、决算草案，开展医疗保障基金核算，按规定收支、管理医疗保障基金。负责各类医疗保险参保服务工作，承担医疗保险个人账户管理。负责医疗保障定点机构协议管理，医疗保险异地就医经办服务和医疗保险目录维护管理。负责基本医疗保险参保以及各类医疗保障待遇领取支付情况的稽核工作，开展违规享受</w:t>
      </w:r>
      <w:proofErr w:type="gramStart"/>
      <w:r>
        <w:rPr>
          <w:rFonts w:ascii="仿宋" w:eastAsia="仿宋" w:hAnsi="仿宋" w:cs="仿宋"/>
        </w:rPr>
        <w:t>医</w:t>
      </w:r>
      <w:proofErr w:type="gramEnd"/>
      <w:r>
        <w:rPr>
          <w:rFonts w:ascii="仿宋" w:eastAsia="仿宋" w:hAnsi="仿宋" w:cs="仿宋"/>
        </w:rPr>
        <w:t>保待遇的追偿工作。承担全市医疗保障经办工作内控管理，制定医疗保障业务经办流程、规范和标准，指导基层经办机构开展业务工作。</w:t>
      </w:r>
    </w:p>
    <w:p w:rsidR="00F03B22" w:rsidRDefault="00F74FDD">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本单位内设机构包括（一）综合部。负责中心日常工作运转和综合协调，承担文秘、机要、档案、保密、信访、财务、后勤、资产、法</w:t>
      </w:r>
      <w:proofErr w:type="gramStart"/>
      <w:r>
        <w:rPr>
          <w:rFonts w:ascii="仿宋" w:eastAsia="仿宋" w:hAnsi="仿宋" w:cs="仿宋"/>
        </w:rPr>
        <w:t>务</w:t>
      </w:r>
      <w:proofErr w:type="gramEnd"/>
      <w:r>
        <w:rPr>
          <w:rFonts w:ascii="仿宋" w:eastAsia="仿宋" w:hAnsi="仿宋" w:cs="仿宋"/>
        </w:rPr>
        <w:t>等工作；负责机关党群工作，承担人事劳资、队伍建设、考核培训、离退休干部服务等工作。（二）参保业务部。负责职工基本医疗保险、城乡居民医疗保险、生育保险的参保服务工作；组织做好城乡居民</w:t>
      </w:r>
      <w:proofErr w:type="gramStart"/>
      <w:r>
        <w:rPr>
          <w:rFonts w:ascii="仿宋" w:eastAsia="仿宋" w:hAnsi="仿宋" w:cs="仿宋"/>
        </w:rPr>
        <w:t>医</w:t>
      </w:r>
      <w:proofErr w:type="gramEnd"/>
      <w:r>
        <w:rPr>
          <w:rFonts w:ascii="仿宋" w:eastAsia="仿宋" w:hAnsi="仿宋" w:cs="仿宋"/>
        </w:rPr>
        <w:t>保财政补贴申报；承担异地就医人员管理服务工作，做好</w:t>
      </w:r>
      <w:proofErr w:type="gramStart"/>
      <w:r>
        <w:rPr>
          <w:rFonts w:ascii="仿宋" w:eastAsia="仿宋" w:hAnsi="仿宋" w:cs="仿宋"/>
        </w:rPr>
        <w:t>医保关系</w:t>
      </w:r>
      <w:proofErr w:type="gramEnd"/>
      <w:r>
        <w:rPr>
          <w:rFonts w:ascii="仿宋" w:eastAsia="仿宋" w:hAnsi="仿宋" w:cs="仿宋"/>
        </w:rPr>
        <w:t>转移接续管理；建立和管理医疗保险个人账户，核定参保人员缴费年限；负责医药机构服务协议管理，对其执行协议情况进行考核；承担基本医</w:t>
      </w:r>
      <w:r>
        <w:rPr>
          <w:rFonts w:ascii="仿宋" w:eastAsia="仿宋" w:hAnsi="仿宋" w:cs="仿宋"/>
        </w:rPr>
        <w:lastRenderedPageBreak/>
        <w:t>疗保险药品、医用耗材和诊疗项目目录日常维护管理；负责参保人</w:t>
      </w:r>
      <w:proofErr w:type="gramStart"/>
      <w:r>
        <w:rPr>
          <w:rFonts w:ascii="仿宋" w:eastAsia="仿宋" w:hAnsi="仿宋" w:cs="仿宋"/>
        </w:rPr>
        <w:t>员门诊病种资格</w:t>
      </w:r>
      <w:proofErr w:type="gramEnd"/>
      <w:r>
        <w:rPr>
          <w:rFonts w:ascii="仿宋" w:eastAsia="仿宋" w:hAnsi="仿宋" w:cs="仿宋"/>
        </w:rPr>
        <w:t>准入、审核认定及管理工作；负责机关事业单位参加基本医疗保险登记，做好机关事业单位补充医疗保险准入管理。（三）</w:t>
      </w:r>
      <w:proofErr w:type="gramStart"/>
      <w:r>
        <w:rPr>
          <w:rFonts w:ascii="仿宋" w:eastAsia="仿宋" w:hAnsi="仿宋" w:cs="仿宋"/>
        </w:rPr>
        <w:t>医</w:t>
      </w:r>
      <w:proofErr w:type="gramEnd"/>
      <w:r>
        <w:rPr>
          <w:rFonts w:ascii="仿宋" w:eastAsia="仿宋" w:hAnsi="仿宋" w:cs="仿宋"/>
        </w:rPr>
        <w:t>保结算部。负责对医疗保障基金核算，编制全市医疗保障基金预决算草案，调拨和核付相关费用；编制医疗保障基金财务和业务报表，组织开展基金收支分析，做好垫支基金清偿工作；审核管理基本医疗保险、生育保险、企业离休干部零星报销待遇，审核发放基本医疗保险、生育保险、企业离休干部医药费统筹费用等；承担医疗保障各</w:t>
      </w:r>
      <w:proofErr w:type="gramStart"/>
      <w:r>
        <w:rPr>
          <w:rFonts w:ascii="仿宋" w:eastAsia="仿宋" w:hAnsi="仿宋" w:cs="仿宋"/>
        </w:rPr>
        <w:t>类支付</w:t>
      </w:r>
      <w:proofErr w:type="gramEnd"/>
      <w:r>
        <w:rPr>
          <w:rFonts w:ascii="仿宋" w:eastAsia="仿宋" w:hAnsi="仿宋" w:cs="仿宋"/>
        </w:rPr>
        <w:t>资金的复核工作；负责定点医药机构费用结算管理工作；负责异地就医结算工作。（四）基金稽核部。负责基本医疗保险参保以及各类医疗保障待遇支付情况的稽核工作；依据</w:t>
      </w:r>
      <w:proofErr w:type="gramStart"/>
      <w:r>
        <w:rPr>
          <w:rFonts w:ascii="仿宋" w:eastAsia="仿宋" w:hAnsi="仿宋" w:cs="仿宋"/>
        </w:rPr>
        <w:t>医</w:t>
      </w:r>
      <w:proofErr w:type="gramEnd"/>
      <w:r>
        <w:rPr>
          <w:rFonts w:ascii="仿宋" w:eastAsia="仿宋" w:hAnsi="仿宋" w:cs="仿宋"/>
        </w:rPr>
        <w:t>保基金监管和协议管理规定，组织开展定点医药机构稽核；开展违规享受</w:t>
      </w:r>
      <w:proofErr w:type="gramStart"/>
      <w:r>
        <w:rPr>
          <w:rFonts w:ascii="仿宋" w:eastAsia="仿宋" w:hAnsi="仿宋" w:cs="仿宋"/>
        </w:rPr>
        <w:t>医</w:t>
      </w:r>
      <w:proofErr w:type="gramEnd"/>
      <w:r>
        <w:rPr>
          <w:rFonts w:ascii="仿宋" w:eastAsia="仿宋" w:hAnsi="仿宋" w:cs="仿宋"/>
        </w:rPr>
        <w:t>保待遇的追偿工作；受理医疗保障欺诈骗保的投诉举报，开展零星报销疑似问题的调查工作；负责</w:t>
      </w:r>
      <w:proofErr w:type="gramStart"/>
      <w:r>
        <w:rPr>
          <w:rFonts w:ascii="仿宋" w:eastAsia="仿宋" w:hAnsi="仿宋" w:cs="仿宋"/>
        </w:rPr>
        <w:t>医</w:t>
      </w:r>
      <w:proofErr w:type="gramEnd"/>
      <w:r>
        <w:rPr>
          <w:rFonts w:ascii="仿宋" w:eastAsia="仿宋" w:hAnsi="仿宋" w:cs="仿宋"/>
        </w:rPr>
        <w:t>保医师（药师、护士）的监督管理工作；制定完善监管规则，通过</w:t>
      </w:r>
      <w:proofErr w:type="gramStart"/>
      <w:r>
        <w:rPr>
          <w:rFonts w:ascii="仿宋" w:eastAsia="仿宋" w:hAnsi="仿宋" w:cs="仿宋"/>
        </w:rPr>
        <w:t>医</w:t>
      </w:r>
      <w:proofErr w:type="gramEnd"/>
      <w:r>
        <w:rPr>
          <w:rFonts w:ascii="仿宋" w:eastAsia="仿宋" w:hAnsi="仿宋" w:cs="仿宋"/>
        </w:rPr>
        <w:t>保智能监控系统，组织开展预警监控和相关审核工作。（五）保障救助部。落实医疗保障精准扶贫相关政策要求，承担医疗救助经办工作；承担大病保险经办工作；承担长期护理保险经办工作；做好全市医疗保障经办工作内控管理，制定和完善医疗保障业务经办流程、规范和标准；指导基层经办机构开展业务工作，监督各类</w:t>
      </w:r>
      <w:proofErr w:type="gramStart"/>
      <w:r>
        <w:rPr>
          <w:rFonts w:ascii="仿宋" w:eastAsia="仿宋" w:hAnsi="仿宋" w:cs="仿宋"/>
        </w:rPr>
        <w:t>医</w:t>
      </w:r>
      <w:proofErr w:type="gramEnd"/>
      <w:r>
        <w:rPr>
          <w:rFonts w:ascii="仿宋" w:eastAsia="仿宋" w:hAnsi="仿宋" w:cs="仿宋"/>
        </w:rPr>
        <w:t>保政策和经办规程执行情况。本单位无下属单位。</w:t>
      </w:r>
    </w:p>
    <w:p w:rsidR="00F03B22" w:rsidRDefault="00F74FDD">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三、2024年度主要工作完成情况</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1.推进“高效办成一件事”，落实上级部署要求</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积极落实</w:t>
      </w:r>
      <w:proofErr w:type="gramStart"/>
      <w:r>
        <w:rPr>
          <w:rFonts w:ascii="仿宋" w:eastAsia="仿宋" w:hAnsi="仿宋" w:cs="仿宋"/>
        </w:rPr>
        <w:t>医</w:t>
      </w:r>
      <w:proofErr w:type="gramEnd"/>
      <w:r>
        <w:rPr>
          <w:rFonts w:ascii="仿宋" w:eastAsia="仿宋" w:hAnsi="仿宋" w:cs="仿宋"/>
        </w:rPr>
        <w:t>保经办领域“一件事”工作内容。一是新生儿“出生一件事”。实现江苏政务官网及其APP上《出生医学证明》、城乡居民参保登记、新生儿户口申报等事项集成办理。二是线上办理职工</w:t>
      </w:r>
      <w:proofErr w:type="gramStart"/>
      <w:r>
        <w:rPr>
          <w:rFonts w:ascii="仿宋" w:eastAsia="仿宋" w:hAnsi="仿宋" w:cs="仿宋"/>
        </w:rPr>
        <w:t>个账家庭</w:t>
      </w:r>
      <w:proofErr w:type="gramEnd"/>
      <w:r>
        <w:rPr>
          <w:rFonts w:ascii="仿宋" w:eastAsia="仿宋" w:hAnsi="仿宋" w:cs="仿宋"/>
        </w:rPr>
        <w:t>共济。“南京医保”</w:t>
      </w:r>
      <w:proofErr w:type="gramStart"/>
      <w:r>
        <w:rPr>
          <w:rFonts w:ascii="仿宋" w:eastAsia="仿宋" w:hAnsi="仿宋" w:cs="仿宋"/>
        </w:rPr>
        <w:t>微信公众号</w:t>
      </w:r>
      <w:proofErr w:type="gramEnd"/>
      <w:r>
        <w:rPr>
          <w:rFonts w:ascii="仿宋" w:eastAsia="仿宋" w:hAnsi="仿宋" w:cs="仿宋"/>
        </w:rPr>
        <w:t>、“我的南京”APP、“江苏</w:t>
      </w:r>
      <w:proofErr w:type="gramStart"/>
      <w:r>
        <w:rPr>
          <w:rFonts w:ascii="仿宋" w:eastAsia="仿宋" w:hAnsi="仿宋" w:cs="仿宋"/>
        </w:rPr>
        <w:t>医</w:t>
      </w:r>
      <w:proofErr w:type="gramEnd"/>
      <w:r>
        <w:rPr>
          <w:rFonts w:ascii="仿宋" w:eastAsia="仿宋" w:hAnsi="仿宋" w:cs="仿宋"/>
        </w:rPr>
        <w:t>保云”APP均已</w:t>
      </w:r>
      <w:proofErr w:type="gramStart"/>
      <w:r>
        <w:rPr>
          <w:rFonts w:ascii="仿宋" w:eastAsia="仿宋" w:hAnsi="仿宋" w:cs="仿宋"/>
        </w:rPr>
        <w:t>实现线</w:t>
      </w:r>
      <w:proofErr w:type="gramEnd"/>
      <w:r>
        <w:rPr>
          <w:rFonts w:ascii="仿宋" w:eastAsia="仿宋" w:hAnsi="仿宋" w:cs="仿宋"/>
        </w:rPr>
        <w:t>上办理职工</w:t>
      </w:r>
      <w:proofErr w:type="gramStart"/>
      <w:r>
        <w:rPr>
          <w:rFonts w:ascii="仿宋" w:eastAsia="仿宋" w:hAnsi="仿宋" w:cs="仿宋"/>
        </w:rPr>
        <w:t>医</w:t>
      </w:r>
      <w:proofErr w:type="gramEnd"/>
      <w:r>
        <w:rPr>
          <w:rFonts w:ascii="仿宋" w:eastAsia="仿宋" w:hAnsi="仿宋" w:cs="仿宋"/>
        </w:rPr>
        <w:t>保个人账户家庭共济。三是企业“破产一件事”。完善政务服务平台“企业破产信息核查一件事”模块，对法院授权的律师事务所开展线上破产企业的</w:t>
      </w:r>
      <w:proofErr w:type="gramStart"/>
      <w:r>
        <w:rPr>
          <w:rFonts w:ascii="仿宋" w:eastAsia="仿宋" w:hAnsi="仿宋" w:cs="仿宋"/>
        </w:rPr>
        <w:t>医</w:t>
      </w:r>
      <w:proofErr w:type="gramEnd"/>
      <w:r>
        <w:rPr>
          <w:rFonts w:ascii="仿宋" w:eastAsia="仿宋" w:hAnsi="仿宋" w:cs="仿宋"/>
        </w:rPr>
        <w:t>保参保及缴费情况核查。四是“慢特病门诊”异地就医一件事。实现职工、居民</w:t>
      </w:r>
      <w:proofErr w:type="gramStart"/>
      <w:r>
        <w:rPr>
          <w:rFonts w:ascii="仿宋" w:eastAsia="仿宋" w:hAnsi="仿宋" w:cs="仿宋"/>
        </w:rPr>
        <w:t>医</w:t>
      </w:r>
      <w:proofErr w:type="gramEnd"/>
      <w:r>
        <w:rPr>
          <w:rFonts w:ascii="仿宋" w:eastAsia="仿宋" w:hAnsi="仿宋" w:cs="仿宋"/>
        </w:rPr>
        <w:t>保各类“慢特病”门诊异地就医联网结算，除“高血压”等5个“慢特病”病种外，参保人还可在异地联网结算“再生障碍性贫血”“系统红斑狼疮”等门诊特殊病费用。五是职工“退休一件事”。由省政务牵头、</w:t>
      </w:r>
      <w:proofErr w:type="gramStart"/>
      <w:r>
        <w:rPr>
          <w:rFonts w:ascii="仿宋" w:eastAsia="仿宋" w:hAnsi="仿宋" w:cs="仿宋"/>
        </w:rPr>
        <w:t>省人社发起</w:t>
      </w:r>
      <w:proofErr w:type="gramEnd"/>
      <w:r>
        <w:rPr>
          <w:rFonts w:ascii="仿宋" w:eastAsia="仿宋" w:hAnsi="仿宋" w:cs="仿宋"/>
        </w:rPr>
        <w:t>的退休一件事，在</w:t>
      </w:r>
      <w:proofErr w:type="gramStart"/>
      <w:r>
        <w:rPr>
          <w:rFonts w:ascii="仿宋" w:eastAsia="仿宋" w:hAnsi="仿宋" w:cs="仿宋"/>
        </w:rPr>
        <w:t>医</w:t>
      </w:r>
      <w:proofErr w:type="gramEnd"/>
      <w:r>
        <w:rPr>
          <w:rFonts w:ascii="仿宋" w:eastAsia="仿宋" w:hAnsi="仿宋" w:cs="仿宋"/>
        </w:rPr>
        <w:t>保退休业务部门进行规程重塑及后，于12月2日正式上线。此外，“提供</w:t>
      </w:r>
      <w:proofErr w:type="gramStart"/>
      <w:r>
        <w:rPr>
          <w:rFonts w:ascii="仿宋" w:eastAsia="仿宋" w:hAnsi="仿宋" w:cs="仿宋"/>
        </w:rPr>
        <w:t>医</w:t>
      </w:r>
      <w:proofErr w:type="gramEnd"/>
      <w:r>
        <w:rPr>
          <w:rFonts w:ascii="仿宋" w:eastAsia="仿宋" w:hAnsi="仿宋" w:cs="仿宋"/>
        </w:rPr>
        <w:t>保经办事项查询服务”“医疗救助对象资助参保免申即享”“生育津贴审核支付10个工作日内办结”“及时与定点医疗机构结算合</w:t>
      </w:r>
      <w:proofErr w:type="gramStart"/>
      <w:r>
        <w:rPr>
          <w:rFonts w:ascii="仿宋" w:eastAsia="仿宋" w:hAnsi="仿宋" w:cs="仿宋"/>
        </w:rPr>
        <w:t>规</w:t>
      </w:r>
      <w:proofErr w:type="gramEnd"/>
      <w:r>
        <w:rPr>
          <w:rFonts w:ascii="仿宋" w:eastAsia="仿宋" w:hAnsi="仿宋" w:cs="仿宋"/>
        </w:rPr>
        <w:t>医疗费用”等“一件事”项目均已落实到位。</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2.做好</w:t>
      </w:r>
      <w:proofErr w:type="gramStart"/>
      <w:r>
        <w:rPr>
          <w:rFonts w:ascii="仿宋" w:eastAsia="仿宋" w:hAnsi="仿宋" w:cs="仿宋"/>
        </w:rPr>
        <w:t>医</w:t>
      </w:r>
      <w:proofErr w:type="gramEnd"/>
      <w:r>
        <w:rPr>
          <w:rFonts w:ascii="仿宋" w:eastAsia="仿宋" w:hAnsi="仿宋" w:cs="仿宋"/>
        </w:rPr>
        <w:t>保参保缴费，推动重点工作落地</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一是强化数字赋能</w:t>
      </w:r>
      <w:proofErr w:type="gramStart"/>
      <w:r>
        <w:rPr>
          <w:rFonts w:ascii="仿宋" w:eastAsia="仿宋" w:hAnsi="仿宋" w:cs="仿宋"/>
        </w:rPr>
        <w:t>医</w:t>
      </w:r>
      <w:proofErr w:type="gramEnd"/>
      <w:r>
        <w:rPr>
          <w:rFonts w:ascii="仿宋" w:eastAsia="仿宋" w:hAnsi="仿宋" w:cs="仿宋"/>
        </w:rPr>
        <w:t>保参保。与市数据局建立参保数据定期交互工作机制，依托</w:t>
      </w:r>
      <w:proofErr w:type="gramStart"/>
      <w:r>
        <w:rPr>
          <w:rFonts w:ascii="仿宋" w:eastAsia="仿宋" w:hAnsi="仿宋" w:cs="仿宋"/>
        </w:rPr>
        <w:t>医保高</w:t>
      </w:r>
      <w:proofErr w:type="gramEnd"/>
      <w:r>
        <w:rPr>
          <w:rFonts w:ascii="仿宋" w:eastAsia="仿宋" w:hAnsi="仿宋" w:cs="仿宋"/>
        </w:rPr>
        <w:t>铁全民参保掌中宝模块，根据省局统一部署，推进一户一档、一人一档工作。二是推动用人单位依法参保。依据《社会保险经办条例》规定，推动用人单位参保一件</w:t>
      </w:r>
      <w:r>
        <w:rPr>
          <w:rFonts w:ascii="仿宋" w:eastAsia="仿宋" w:hAnsi="仿宋" w:cs="仿宋"/>
        </w:rPr>
        <w:lastRenderedPageBreak/>
        <w:t>事，用人单位在登记管理机关办理登记时同步为其办理</w:t>
      </w:r>
      <w:proofErr w:type="gramStart"/>
      <w:r>
        <w:rPr>
          <w:rFonts w:ascii="仿宋" w:eastAsia="仿宋" w:hAnsi="仿宋" w:cs="仿宋"/>
        </w:rPr>
        <w:t>医</w:t>
      </w:r>
      <w:proofErr w:type="gramEnd"/>
      <w:r>
        <w:rPr>
          <w:rFonts w:ascii="仿宋" w:eastAsia="仿宋" w:hAnsi="仿宋" w:cs="仿宋"/>
        </w:rPr>
        <w:t>保登记。三是落实领取失业</w:t>
      </w:r>
      <w:proofErr w:type="gramStart"/>
      <w:r>
        <w:rPr>
          <w:rFonts w:ascii="仿宋" w:eastAsia="仿宋" w:hAnsi="仿宋" w:cs="仿宋"/>
        </w:rPr>
        <w:t>金人员</w:t>
      </w:r>
      <w:proofErr w:type="gramEnd"/>
      <w:r>
        <w:rPr>
          <w:rFonts w:ascii="仿宋" w:eastAsia="仿宋" w:hAnsi="仿宋" w:cs="仿宋"/>
        </w:rPr>
        <w:t>参加生育保险。与税务、社保等部门协同配合，确定参保执行时间、补缴经办流程，完成补缴费用测算，4月起领取失业</w:t>
      </w:r>
      <w:proofErr w:type="gramStart"/>
      <w:r>
        <w:rPr>
          <w:rFonts w:ascii="仿宋" w:eastAsia="仿宋" w:hAnsi="仿宋" w:cs="仿宋"/>
        </w:rPr>
        <w:t>金人员</w:t>
      </w:r>
      <w:proofErr w:type="gramEnd"/>
      <w:r>
        <w:rPr>
          <w:rFonts w:ascii="仿宋" w:eastAsia="仿宋" w:hAnsi="仿宋" w:cs="仿宋"/>
        </w:rPr>
        <w:t>顺利参加生育保险。四是做好重点人群参保。全力推进9家在宁部属科研院所整建制参加我市职工</w:t>
      </w:r>
      <w:proofErr w:type="gramStart"/>
      <w:r>
        <w:rPr>
          <w:rFonts w:ascii="仿宋" w:eastAsia="仿宋" w:hAnsi="仿宋" w:cs="仿宋"/>
        </w:rPr>
        <w:t>医</w:t>
      </w:r>
      <w:proofErr w:type="gramEnd"/>
      <w:r>
        <w:rPr>
          <w:rFonts w:ascii="仿宋" w:eastAsia="仿宋" w:hAnsi="仿宋" w:cs="仿宋"/>
        </w:rPr>
        <w:t>保；确保困难人员“应保尽保”；落实2025年大学生</w:t>
      </w:r>
      <w:proofErr w:type="gramStart"/>
      <w:r>
        <w:rPr>
          <w:rFonts w:ascii="仿宋" w:eastAsia="仿宋" w:hAnsi="仿宋" w:cs="仿宋"/>
        </w:rPr>
        <w:t>医</w:t>
      </w:r>
      <w:proofErr w:type="gramEnd"/>
      <w:r>
        <w:rPr>
          <w:rFonts w:ascii="仿宋" w:eastAsia="仿宋" w:hAnsi="仿宋" w:cs="仿宋"/>
        </w:rPr>
        <w:t>保参保并完善“南京医保”</w:t>
      </w:r>
      <w:proofErr w:type="gramStart"/>
      <w:r>
        <w:rPr>
          <w:rFonts w:ascii="仿宋" w:eastAsia="仿宋" w:hAnsi="仿宋" w:cs="仿宋"/>
        </w:rPr>
        <w:t>微信公众号</w:t>
      </w:r>
      <w:proofErr w:type="gramEnd"/>
      <w:r>
        <w:rPr>
          <w:rFonts w:ascii="仿宋" w:eastAsia="仿宋" w:hAnsi="仿宋" w:cs="仿宋"/>
        </w:rPr>
        <w:t>大学生服务专区。五是重点落实个人账户激励。在完成企业退休人员重算养老金后</w:t>
      </w:r>
      <w:proofErr w:type="gramStart"/>
      <w:r>
        <w:rPr>
          <w:rFonts w:ascii="仿宋" w:eastAsia="仿宋" w:hAnsi="仿宋" w:cs="仿宋"/>
        </w:rPr>
        <w:t>个</w:t>
      </w:r>
      <w:proofErr w:type="gramEnd"/>
      <w:r>
        <w:rPr>
          <w:rFonts w:ascii="仿宋" w:eastAsia="仿宋" w:hAnsi="仿宋" w:cs="仿宋"/>
        </w:rPr>
        <w:t>账补发、职工</w:t>
      </w:r>
      <w:proofErr w:type="gramStart"/>
      <w:r>
        <w:rPr>
          <w:rFonts w:ascii="仿宋" w:eastAsia="仿宋" w:hAnsi="仿宋" w:cs="仿宋"/>
        </w:rPr>
        <w:t>医</w:t>
      </w:r>
      <w:proofErr w:type="gramEnd"/>
      <w:r>
        <w:rPr>
          <w:rFonts w:ascii="仿宋" w:eastAsia="仿宋" w:hAnsi="仿宋" w:cs="仿宋"/>
        </w:rPr>
        <w:t>保个账计息、机关事业单位</w:t>
      </w:r>
      <w:proofErr w:type="gramStart"/>
      <w:r>
        <w:rPr>
          <w:rFonts w:ascii="仿宋" w:eastAsia="仿宋" w:hAnsi="仿宋" w:cs="仿宋"/>
        </w:rPr>
        <w:t>个账增记</w:t>
      </w:r>
      <w:proofErr w:type="gramEnd"/>
      <w:r>
        <w:rPr>
          <w:rFonts w:ascii="仿宋" w:eastAsia="仿宋" w:hAnsi="仿宋" w:cs="仿宋"/>
        </w:rPr>
        <w:t>、伤残军人</w:t>
      </w:r>
      <w:proofErr w:type="gramStart"/>
      <w:r>
        <w:rPr>
          <w:rFonts w:ascii="仿宋" w:eastAsia="仿宋" w:hAnsi="仿宋" w:cs="仿宋"/>
        </w:rPr>
        <w:t>个</w:t>
      </w:r>
      <w:proofErr w:type="gramEnd"/>
      <w:r>
        <w:rPr>
          <w:rFonts w:ascii="仿宋" w:eastAsia="仿宋" w:hAnsi="仿宋" w:cs="仿宋"/>
        </w:rPr>
        <w:t>账注入等工作基础上，完成个人账户健康激励结算。</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3.完成各类</w:t>
      </w:r>
      <w:proofErr w:type="gramStart"/>
      <w:r>
        <w:rPr>
          <w:rFonts w:ascii="仿宋" w:eastAsia="仿宋" w:hAnsi="仿宋" w:cs="仿宋"/>
        </w:rPr>
        <w:t>医</w:t>
      </w:r>
      <w:proofErr w:type="gramEnd"/>
      <w:r>
        <w:rPr>
          <w:rFonts w:ascii="仿宋" w:eastAsia="仿宋" w:hAnsi="仿宋" w:cs="仿宋"/>
        </w:rPr>
        <w:t>保结算，建设智能审核系统</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一是做好DRG结算。二是调整结算政策。做好省内异地就医直接结算住院病例纳入就医地DRG付费、治疗性辅助生殖技术项目纳入基本</w:t>
      </w:r>
      <w:proofErr w:type="gramStart"/>
      <w:r>
        <w:rPr>
          <w:rFonts w:ascii="仿宋" w:eastAsia="仿宋" w:hAnsi="仿宋" w:cs="仿宋"/>
        </w:rPr>
        <w:t>医</w:t>
      </w:r>
      <w:proofErr w:type="gramEnd"/>
      <w:r>
        <w:rPr>
          <w:rFonts w:ascii="仿宋" w:eastAsia="仿宋" w:hAnsi="仿宋" w:cs="仿宋"/>
        </w:rPr>
        <w:t>保等政策落地工作，并推进扩大中医DRG分组付费医疗机构覆盖范围、康复</w:t>
      </w:r>
      <w:proofErr w:type="gramStart"/>
      <w:r>
        <w:rPr>
          <w:rFonts w:ascii="仿宋" w:eastAsia="仿宋" w:hAnsi="仿宋" w:cs="仿宋"/>
        </w:rPr>
        <w:t>病组价值</w:t>
      </w:r>
      <w:proofErr w:type="gramEnd"/>
      <w:r>
        <w:rPr>
          <w:rFonts w:ascii="仿宋" w:eastAsia="仿宋" w:hAnsi="仿宋" w:cs="仿宋"/>
        </w:rPr>
        <w:t>付费（VRG）管理等政策落实。三是全面规范预付金拨付并开展欠款清算。制定《南京市基本医疗保险定点医疗机构DRG改革预付金管理办法（暂行）》自2025年1月1日起实施。对两定机构</w:t>
      </w:r>
      <w:proofErr w:type="gramStart"/>
      <w:r>
        <w:rPr>
          <w:rFonts w:ascii="仿宋" w:eastAsia="仿宋" w:hAnsi="仿宋" w:cs="仿宋"/>
        </w:rPr>
        <w:t>医</w:t>
      </w:r>
      <w:proofErr w:type="gramEnd"/>
      <w:r>
        <w:rPr>
          <w:rFonts w:ascii="仿宋" w:eastAsia="仿宋" w:hAnsi="仿宋" w:cs="仿宋"/>
        </w:rPr>
        <w:t>保基金欠款及2024年DRG预付</w:t>
      </w:r>
      <w:proofErr w:type="gramStart"/>
      <w:r>
        <w:rPr>
          <w:rFonts w:ascii="仿宋" w:eastAsia="仿宋" w:hAnsi="仿宋" w:cs="仿宋"/>
        </w:rPr>
        <w:t>金调整</w:t>
      </w:r>
      <w:proofErr w:type="gramEnd"/>
      <w:r>
        <w:rPr>
          <w:rFonts w:ascii="仿宋" w:eastAsia="仿宋" w:hAnsi="仿宋" w:cs="仿宋"/>
        </w:rPr>
        <w:t>情况进行全面梳理并开展追缴工作，四是加强结算审核系统建设。实现DRG智能审核系统二期平稳上线，建立了具有南京本地专家共识和临床诊疗规范特点的二期知识库和规则库，涉及183个ADRG，417个DRG，915个疾病诊断。推进DRG导航系统建设，完成系统开发，搭建测试环境并开展了DRG导航系统试点。</w:t>
      </w:r>
      <w:r>
        <w:rPr>
          <w:rFonts w:ascii="仿宋" w:eastAsia="仿宋" w:hAnsi="仿宋" w:cs="仿宋"/>
        </w:rPr>
        <w:lastRenderedPageBreak/>
        <w:t>五是提高住院满意度评价填报率。开展住院满意度评价前置试点。</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4.开展日常专项稽核，深化智能监管应用</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一是深化完善制度建设。制定《关于职工医保门诊费用支付管理相关事项的通知》，规范举报投诉</w:t>
      </w:r>
      <w:proofErr w:type="gramStart"/>
      <w:r>
        <w:rPr>
          <w:rFonts w:ascii="仿宋" w:eastAsia="仿宋" w:hAnsi="仿宋" w:cs="仿宋"/>
        </w:rPr>
        <w:t>医</w:t>
      </w:r>
      <w:proofErr w:type="gramEnd"/>
      <w:r>
        <w:rPr>
          <w:rFonts w:ascii="仿宋" w:eastAsia="仿宋" w:hAnsi="仿宋" w:cs="仿宋"/>
        </w:rPr>
        <w:t>保稽核工作规程和两地重复享受</w:t>
      </w:r>
      <w:proofErr w:type="gramStart"/>
      <w:r>
        <w:rPr>
          <w:rFonts w:ascii="仿宋" w:eastAsia="仿宋" w:hAnsi="仿宋" w:cs="仿宋"/>
        </w:rPr>
        <w:t>医</w:t>
      </w:r>
      <w:proofErr w:type="gramEnd"/>
      <w:r>
        <w:rPr>
          <w:rFonts w:ascii="仿宋" w:eastAsia="仿宋" w:hAnsi="仿宋" w:cs="仿宋"/>
        </w:rPr>
        <w:t>保待遇稽核规程。二是加强日常监管。加强两定机构稽核，完成审计移交事项后续处理，暂停参保人联网结算，办结各类信访、和谐信访件、外地协查等，强化</w:t>
      </w:r>
      <w:proofErr w:type="gramStart"/>
      <w:r>
        <w:rPr>
          <w:rFonts w:ascii="仿宋" w:eastAsia="仿宋" w:hAnsi="仿宋" w:cs="仿宋"/>
        </w:rPr>
        <w:t>应保尽保稽核</w:t>
      </w:r>
      <w:proofErr w:type="gramEnd"/>
      <w:r>
        <w:rPr>
          <w:rFonts w:ascii="仿宋" w:eastAsia="仿宋" w:hAnsi="仿宋" w:cs="仿宋"/>
        </w:rPr>
        <w:t>，做好</w:t>
      </w:r>
      <w:proofErr w:type="gramStart"/>
      <w:r>
        <w:rPr>
          <w:rFonts w:ascii="仿宋" w:eastAsia="仿宋" w:hAnsi="仿宋" w:cs="仿宋"/>
        </w:rPr>
        <w:t>医</w:t>
      </w:r>
      <w:proofErr w:type="gramEnd"/>
      <w:r>
        <w:rPr>
          <w:rFonts w:ascii="仿宋" w:eastAsia="仿宋" w:hAnsi="仿宋" w:cs="仿宋"/>
        </w:rPr>
        <w:t>保医师记分管理。三是开展专项稽核。定期</w:t>
      </w:r>
      <w:proofErr w:type="gramStart"/>
      <w:r>
        <w:rPr>
          <w:rFonts w:ascii="仿宋" w:eastAsia="仿宋" w:hAnsi="仿宋" w:cs="仿宋"/>
        </w:rPr>
        <w:t>开展门统专项</w:t>
      </w:r>
      <w:proofErr w:type="gramEnd"/>
      <w:r>
        <w:rPr>
          <w:rFonts w:ascii="仿宋" w:eastAsia="仿宋" w:hAnsi="仿宋" w:cs="仿宋"/>
        </w:rPr>
        <w:t>核查，开展2023年高频次住院病例专项核查、“重症监护”、“ICU”专项核查、结付率异常医疗机构专项核查、开展整治骗取</w:t>
      </w:r>
      <w:proofErr w:type="gramStart"/>
      <w:r>
        <w:rPr>
          <w:rFonts w:ascii="仿宋" w:eastAsia="仿宋" w:hAnsi="仿宋" w:cs="仿宋"/>
        </w:rPr>
        <w:t>医</w:t>
      </w:r>
      <w:proofErr w:type="gramEnd"/>
      <w:r>
        <w:rPr>
          <w:rFonts w:ascii="仿宋" w:eastAsia="仿宋" w:hAnsi="仿宋" w:cs="仿宋"/>
        </w:rPr>
        <w:t>保基金监督检查、低级别机构重点检查、</w:t>
      </w:r>
      <w:proofErr w:type="gramStart"/>
      <w:r>
        <w:rPr>
          <w:rFonts w:ascii="仿宋" w:eastAsia="仿宋" w:hAnsi="仿宋" w:cs="仿宋"/>
        </w:rPr>
        <w:t>限儿童</w:t>
      </w:r>
      <w:proofErr w:type="gramEnd"/>
      <w:r>
        <w:rPr>
          <w:rFonts w:ascii="仿宋" w:eastAsia="仿宋" w:hAnsi="仿宋" w:cs="仿宋"/>
        </w:rPr>
        <w:t>使用药品专项稽核、零售药店专项检查及市“双随机</w:t>
      </w:r>
      <w:proofErr w:type="gramStart"/>
      <w:r>
        <w:rPr>
          <w:rFonts w:ascii="仿宋" w:eastAsia="仿宋" w:hAnsi="仿宋" w:cs="仿宋"/>
        </w:rPr>
        <w:t>一</w:t>
      </w:r>
      <w:proofErr w:type="gramEnd"/>
      <w:r>
        <w:rPr>
          <w:rFonts w:ascii="仿宋" w:eastAsia="仿宋" w:hAnsi="仿宋" w:cs="仿宋"/>
        </w:rPr>
        <w:t>公开”检查，组织全市经办机构开展国家局下发“马来酸阿伐曲泊帕（苏可欣）超限支付疑点线索”专项核查；组织全市经办机构开展国家</w:t>
      </w:r>
      <w:proofErr w:type="gramStart"/>
      <w:r>
        <w:rPr>
          <w:rFonts w:ascii="仿宋" w:eastAsia="仿宋" w:hAnsi="仿宋" w:cs="仿宋"/>
        </w:rPr>
        <w:t>医</w:t>
      </w:r>
      <w:proofErr w:type="gramEnd"/>
      <w:r>
        <w:rPr>
          <w:rFonts w:ascii="仿宋" w:eastAsia="仿宋" w:hAnsi="仿宋" w:cs="仿宋"/>
        </w:rPr>
        <w:t>保中心下发死亡人员发生</w:t>
      </w:r>
      <w:proofErr w:type="gramStart"/>
      <w:r>
        <w:rPr>
          <w:rFonts w:ascii="仿宋" w:eastAsia="仿宋" w:hAnsi="仿宋" w:cs="仿宋"/>
        </w:rPr>
        <w:t>医</w:t>
      </w:r>
      <w:proofErr w:type="gramEnd"/>
      <w:r>
        <w:rPr>
          <w:rFonts w:ascii="仿宋" w:eastAsia="仿宋" w:hAnsi="仿宋" w:cs="仿宋"/>
        </w:rPr>
        <w:t>保结算费用专项核查，组织全市经办机构开展国家</w:t>
      </w:r>
      <w:proofErr w:type="gramStart"/>
      <w:r>
        <w:rPr>
          <w:rFonts w:ascii="仿宋" w:eastAsia="仿宋" w:hAnsi="仿宋" w:cs="仿宋"/>
        </w:rPr>
        <w:t>医</w:t>
      </w:r>
      <w:proofErr w:type="gramEnd"/>
      <w:r>
        <w:rPr>
          <w:rFonts w:ascii="仿宋" w:eastAsia="仿宋" w:hAnsi="仿宋" w:cs="仿宋"/>
        </w:rPr>
        <w:t>保中心下发高频次就诊核查；派员协助国家、</w:t>
      </w:r>
      <w:proofErr w:type="gramStart"/>
      <w:r>
        <w:rPr>
          <w:rFonts w:ascii="仿宋" w:eastAsia="仿宋" w:hAnsi="仿宋" w:cs="仿宋"/>
        </w:rPr>
        <w:t>省各项</w:t>
      </w:r>
      <w:proofErr w:type="gramEnd"/>
      <w:r>
        <w:rPr>
          <w:rFonts w:ascii="仿宋" w:eastAsia="仿宋" w:hAnsi="仿宋" w:cs="仿宋"/>
        </w:rPr>
        <w:t>检查工作。四是深化智能监管。上线国家和省规则91条，圆满完成南京</w:t>
      </w:r>
      <w:proofErr w:type="gramStart"/>
      <w:r>
        <w:rPr>
          <w:rFonts w:ascii="仿宋" w:eastAsia="仿宋" w:hAnsi="仿宋" w:cs="仿宋"/>
        </w:rPr>
        <w:t>医</w:t>
      </w:r>
      <w:proofErr w:type="gramEnd"/>
      <w:r>
        <w:rPr>
          <w:rFonts w:ascii="仿宋" w:eastAsia="仿宋" w:hAnsi="仿宋" w:cs="仿宋"/>
        </w:rPr>
        <w:t>保基金智能监管子系统国家局验收，按序时进度完成智能审核；发挥二级部署优势，跟进本地化监控规则及知识点的制定，制定完成中医类、康复类智能监控</w:t>
      </w:r>
      <w:proofErr w:type="gramStart"/>
      <w:r>
        <w:rPr>
          <w:rFonts w:ascii="仿宋" w:eastAsia="仿宋" w:hAnsi="仿宋" w:cs="仿宋"/>
        </w:rPr>
        <w:t>规则知识</w:t>
      </w:r>
      <w:proofErr w:type="gramEnd"/>
      <w:r>
        <w:rPr>
          <w:rFonts w:ascii="仿宋" w:eastAsia="仿宋" w:hAnsi="仿宋" w:cs="仿宋"/>
        </w:rPr>
        <w:t>点205条；加强事前提醒预警，将门诊事前控制1.0系统扩大至全险种和全部人群，督促医药机构全面应用事前提醒【3101】、事前预警【3102】接口，每月对接口调用情况进行通报；根据监管面临的新问题，新增刷卡</w:t>
      </w:r>
      <w:r>
        <w:rPr>
          <w:rFonts w:ascii="仿宋" w:eastAsia="仿宋" w:hAnsi="仿宋" w:cs="仿宋"/>
        </w:rPr>
        <w:lastRenderedPageBreak/>
        <w:t>控制；建设“团进团出”、“卡聚集”、“慢特病人群监测”、“异常相似病例”等4个大数据反欺诈模型。五是开展创新探索。与</w:t>
      </w:r>
      <w:proofErr w:type="gramStart"/>
      <w:r>
        <w:rPr>
          <w:rFonts w:ascii="仿宋" w:eastAsia="仿宋" w:hAnsi="仿宋" w:cs="仿宋"/>
        </w:rPr>
        <w:t>科大讯飞合作</w:t>
      </w:r>
      <w:proofErr w:type="gramEnd"/>
      <w:r>
        <w:rPr>
          <w:rFonts w:ascii="仿宋" w:eastAsia="仿宋" w:hAnsi="仿宋" w:cs="仿宋"/>
        </w:rPr>
        <w:t>，积极推进DRG</w:t>
      </w:r>
      <w:proofErr w:type="gramStart"/>
      <w:r>
        <w:rPr>
          <w:rFonts w:ascii="仿宋" w:eastAsia="仿宋" w:hAnsi="仿宋" w:cs="仿宋"/>
        </w:rPr>
        <w:t>医</w:t>
      </w:r>
      <w:proofErr w:type="gramEnd"/>
      <w:r>
        <w:rPr>
          <w:rFonts w:ascii="仿宋" w:eastAsia="仿宋" w:hAnsi="仿宋" w:cs="仿宋"/>
        </w:rPr>
        <w:t>保基金</w:t>
      </w:r>
      <w:proofErr w:type="gramStart"/>
      <w:r>
        <w:rPr>
          <w:rFonts w:ascii="仿宋" w:eastAsia="仿宋" w:hAnsi="仿宋" w:cs="仿宋"/>
        </w:rPr>
        <w:t>人工智能风控系统</w:t>
      </w:r>
      <w:proofErr w:type="gramEnd"/>
      <w:r>
        <w:rPr>
          <w:rFonts w:ascii="仿宋" w:eastAsia="仿宋" w:hAnsi="仿宋" w:cs="仿宋"/>
        </w:rPr>
        <w:t>建设工作，开展电子病案数据治理，完成定点机构培训；持续优化AI监管模型，已开发20个ADRG</w:t>
      </w:r>
      <w:proofErr w:type="gramStart"/>
      <w:r>
        <w:rPr>
          <w:rFonts w:ascii="仿宋" w:eastAsia="仿宋" w:hAnsi="仿宋" w:cs="仿宋"/>
        </w:rPr>
        <w:t>病组模型</w:t>
      </w:r>
      <w:proofErr w:type="gramEnd"/>
      <w:r>
        <w:rPr>
          <w:rFonts w:ascii="仿宋" w:eastAsia="仿宋" w:hAnsi="仿宋" w:cs="仿宋"/>
        </w:rPr>
        <w:t>，正在进行数据校验，加快</w:t>
      </w:r>
      <w:proofErr w:type="gramStart"/>
      <w:r>
        <w:rPr>
          <w:rFonts w:ascii="仿宋" w:eastAsia="仿宋" w:hAnsi="仿宋" w:cs="仿宋"/>
        </w:rPr>
        <w:t>上线风控</w:t>
      </w:r>
      <w:proofErr w:type="gramEnd"/>
      <w:r>
        <w:rPr>
          <w:rFonts w:ascii="仿宋" w:eastAsia="仿宋" w:hAnsi="仿宋" w:cs="仿宋"/>
        </w:rPr>
        <w:t>系统。</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5.落地新版“三个目录”，加强两定机构管理</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一是加强“三个目录”管理。自2024年1月1日起，全面执行《2023年药品目录》，同步调整药品限定支付范围和</w:t>
      </w:r>
      <w:proofErr w:type="gramStart"/>
      <w:r>
        <w:rPr>
          <w:rFonts w:ascii="仿宋" w:eastAsia="仿宋" w:hAnsi="仿宋" w:cs="仿宋"/>
        </w:rPr>
        <w:t>医保</w:t>
      </w:r>
      <w:proofErr w:type="gramEnd"/>
      <w:r>
        <w:rPr>
          <w:rFonts w:ascii="仿宋" w:eastAsia="仿宋" w:hAnsi="仿宋" w:cs="仿宋"/>
        </w:rPr>
        <w:t>支付标准、</w:t>
      </w:r>
      <w:proofErr w:type="gramStart"/>
      <w:r>
        <w:rPr>
          <w:rFonts w:ascii="仿宋" w:eastAsia="仿宋" w:hAnsi="仿宋" w:cs="仿宋"/>
        </w:rPr>
        <w:t>对接省</w:t>
      </w:r>
      <w:proofErr w:type="gramEnd"/>
      <w:r>
        <w:rPr>
          <w:rFonts w:ascii="仿宋" w:eastAsia="仿宋" w:hAnsi="仿宋" w:cs="仿宋"/>
        </w:rPr>
        <w:t>药品标准库药品价格与支付标准，做好医疗服务项目申报开放及医用耗材产品</w:t>
      </w:r>
      <w:proofErr w:type="gramStart"/>
      <w:r>
        <w:rPr>
          <w:rFonts w:ascii="仿宋" w:eastAsia="仿宋" w:hAnsi="仿宋" w:cs="仿宋"/>
        </w:rPr>
        <w:t>医</w:t>
      </w:r>
      <w:proofErr w:type="gramEnd"/>
      <w:r>
        <w:rPr>
          <w:rFonts w:ascii="仿宋" w:eastAsia="仿宋" w:hAnsi="仿宋" w:cs="仿宋"/>
        </w:rPr>
        <w:t>保对接工作。二是完善电子处方流转平台。增加电子处方开具时实名就医信息校验及持非“居民身份证”证件参保职工开具电子处方功能。三是强化“双通道”保障。四是加强定点医药机构考核。根据《2023年度全市定点医药机构考核工作实施方案》，将4634家定点医药机构7大类37个考核指标细划为250个考核细目，分别纳入运行质量、日常管理和自我评价三大类分类实施考核。持续优化定点医药机构考核系统，在定点医药机构交流平台嵌入绩效考核模块。在“</w:t>
      </w:r>
      <w:proofErr w:type="gramStart"/>
      <w:r>
        <w:rPr>
          <w:rFonts w:ascii="仿宋" w:eastAsia="仿宋" w:hAnsi="仿宋" w:cs="仿宋"/>
        </w:rPr>
        <w:t>医保高</w:t>
      </w:r>
      <w:proofErr w:type="gramEnd"/>
      <w:r>
        <w:rPr>
          <w:rFonts w:ascii="仿宋" w:eastAsia="仿宋" w:hAnsi="仿宋" w:cs="仿宋"/>
        </w:rPr>
        <w:t>铁”实时推送考核情况，及时督促定点医药机构调整管理力度，着力提升定点医药机构</w:t>
      </w:r>
      <w:proofErr w:type="gramStart"/>
      <w:r>
        <w:rPr>
          <w:rFonts w:ascii="仿宋" w:eastAsia="仿宋" w:hAnsi="仿宋" w:cs="仿宋"/>
        </w:rPr>
        <w:t>医</w:t>
      </w:r>
      <w:proofErr w:type="gramEnd"/>
      <w:r>
        <w:rPr>
          <w:rFonts w:ascii="仿宋" w:eastAsia="仿宋" w:hAnsi="仿宋" w:cs="仿宋"/>
        </w:rPr>
        <w:t>保服务水平。优化</w:t>
      </w:r>
      <w:proofErr w:type="gramStart"/>
      <w:r>
        <w:rPr>
          <w:rFonts w:ascii="仿宋" w:eastAsia="仿宋" w:hAnsi="仿宋" w:cs="仿宋"/>
        </w:rPr>
        <w:t>医</w:t>
      </w:r>
      <w:proofErr w:type="gramEnd"/>
      <w:r>
        <w:rPr>
          <w:rFonts w:ascii="仿宋" w:eastAsia="仿宋" w:hAnsi="仿宋" w:cs="仿宋"/>
        </w:rPr>
        <w:t>保系统，将“日常考核”模块监测内容，拓展至“日常监督”与“自我管理”两类指标，全量考核、每日考核，实时监测定点医药机构动态管理情况；增加考核分析功能，构建两定机构精准画像并展示分析管理状态。</w:t>
      </w:r>
      <w:r>
        <w:rPr>
          <w:rFonts w:ascii="仿宋" w:eastAsia="仿宋" w:hAnsi="仿宋" w:cs="仿宋"/>
        </w:rPr>
        <w:lastRenderedPageBreak/>
        <w:t>五是规范做好门诊病</w:t>
      </w:r>
      <w:proofErr w:type="gramStart"/>
      <w:r>
        <w:rPr>
          <w:rFonts w:ascii="仿宋" w:eastAsia="仿宋" w:hAnsi="仿宋" w:cs="仿宋"/>
        </w:rPr>
        <w:t>种登记</w:t>
      </w:r>
      <w:proofErr w:type="gramEnd"/>
      <w:r>
        <w:rPr>
          <w:rFonts w:ascii="仿宋" w:eastAsia="仿宋" w:hAnsi="仿宋" w:cs="仿宋"/>
        </w:rPr>
        <w:t>管理。根据《关于开展基本医疗保险门诊特殊病认定常态化检查的通知》《基本医疗保险门诊特殊病种认定管理经办操作规程》，指导监督各级经办机构和定点医疗机构规范门诊特殊病种认定，截至12月，完成35家定点医疗机构4048份门特认定资料检查。结合基金监管工作需求，开发门特电子处方流转系统，提高门诊特定病种患者的就医效率和</w:t>
      </w:r>
      <w:proofErr w:type="gramStart"/>
      <w:r>
        <w:rPr>
          <w:rFonts w:ascii="仿宋" w:eastAsia="仿宋" w:hAnsi="仿宋" w:cs="仿宋"/>
        </w:rPr>
        <w:t>医保</w:t>
      </w:r>
      <w:proofErr w:type="gramEnd"/>
      <w:r>
        <w:rPr>
          <w:rFonts w:ascii="仿宋" w:eastAsia="仿宋" w:hAnsi="仿宋" w:cs="仿宋"/>
        </w:rPr>
        <w:t>服务质量。</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6.优化</w:t>
      </w:r>
      <w:proofErr w:type="gramStart"/>
      <w:r>
        <w:rPr>
          <w:rFonts w:ascii="仿宋" w:eastAsia="仿宋" w:hAnsi="仿宋" w:cs="仿宋"/>
        </w:rPr>
        <w:t>医</w:t>
      </w:r>
      <w:proofErr w:type="gramEnd"/>
      <w:r>
        <w:rPr>
          <w:rFonts w:ascii="仿宋" w:eastAsia="仿宋" w:hAnsi="仿宋" w:cs="仿宋"/>
        </w:rPr>
        <w:t>保公共服务，提升窗口建设水平</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一是持续加强经办标准化信息化建设。扎实落地2023版全省</w:t>
      </w:r>
      <w:proofErr w:type="gramStart"/>
      <w:r>
        <w:rPr>
          <w:rFonts w:ascii="仿宋" w:eastAsia="仿宋" w:hAnsi="仿宋" w:cs="仿宋"/>
        </w:rPr>
        <w:t>医</w:t>
      </w:r>
      <w:proofErr w:type="gramEnd"/>
      <w:r>
        <w:rPr>
          <w:rFonts w:ascii="仿宋" w:eastAsia="仿宋" w:hAnsi="仿宋" w:cs="仿宋"/>
        </w:rPr>
        <w:t>保经办政务服务事项清单，线上线下“统一事项名称、统一事项编码、统一办理材料、统一办理时限、统一办理环节、统一服务标准”，实现2023版事项清单中所有服务事项均可在市、区服务网点办理。拓展服务事项线上办理渠道，</w:t>
      </w:r>
      <w:proofErr w:type="gramStart"/>
      <w:r>
        <w:rPr>
          <w:rFonts w:ascii="仿宋" w:eastAsia="仿宋" w:hAnsi="仿宋" w:cs="仿宋"/>
        </w:rPr>
        <w:t>网办增至</w:t>
      </w:r>
      <w:proofErr w:type="gramEnd"/>
      <w:r>
        <w:rPr>
          <w:rFonts w:ascii="仿宋" w:eastAsia="仿宋" w:hAnsi="仿宋" w:cs="仿宋"/>
        </w:rPr>
        <w:t>31项，掌办增至20项，自助办增至23项。通过“南京医保”</w:t>
      </w:r>
      <w:proofErr w:type="gramStart"/>
      <w:r>
        <w:rPr>
          <w:rFonts w:ascii="仿宋" w:eastAsia="仿宋" w:hAnsi="仿宋" w:cs="仿宋"/>
        </w:rPr>
        <w:t>微信公众号</w:t>
      </w:r>
      <w:proofErr w:type="gramEnd"/>
      <w:r>
        <w:rPr>
          <w:rFonts w:ascii="仿宋" w:eastAsia="仿宋" w:hAnsi="仿宋" w:cs="仿宋"/>
        </w:rPr>
        <w:t>、“我的南京”APP等，实现</w:t>
      </w:r>
      <w:proofErr w:type="gramStart"/>
      <w:r>
        <w:rPr>
          <w:rFonts w:ascii="仿宋" w:eastAsia="仿宋" w:hAnsi="仿宋" w:cs="仿宋"/>
        </w:rPr>
        <w:t>医</w:t>
      </w:r>
      <w:proofErr w:type="gramEnd"/>
      <w:r>
        <w:rPr>
          <w:rFonts w:ascii="仿宋" w:eastAsia="仿宋" w:hAnsi="仿宋" w:cs="仿宋"/>
        </w:rPr>
        <w:t>保参保登记、异地就医备案等34项</w:t>
      </w:r>
      <w:proofErr w:type="gramStart"/>
      <w:r>
        <w:rPr>
          <w:rFonts w:ascii="仿宋" w:eastAsia="仿宋" w:hAnsi="仿宋" w:cs="仿宋"/>
        </w:rPr>
        <w:t>医</w:t>
      </w:r>
      <w:proofErr w:type="gramEnd"/>
      <w:r>
        <w:rPr>
          <w:rFonts w:ascii="仿宋" w:eastAsia="仿宋" w:hAnsi="仿宋" w:cs="仿宋"/>
        </w:rPr>
        <w:t>保服务“不见面办理”。二是持续优化异地就医服务品牌。全面落实承诺制备案、多地备案等便民举措，持续开展“有事@我”服务。三是持续提升窗口服务水平。建立</w:t>
      </w:r>
      <w:proofErr w:type="gramStart"/>
      <w:r>
        <w:rPr>
          <w:rFonts w:ascii="仿宋" w:eastAsia="仿宋" w:hAnsi="仿宋" w:cs="仿宋"/>
        </w:rPr>
        <w:t>医</w:t>
      </w:r>
      <w:proofErr w:type="gramEnd"/>
      <w:r>
        <w:rPr>
          <w:rFonts w:ascii="仿宋" w:eastAsia="仿宋" w:hAnsi="仿宋" w:cs="仿宋"/>
        </w:rPr>
        <w:t>保经办窗口岗位示范标兵制度。四是持续建强“15分钟</w:t>
      </w:r>
      <w:proofErr w:type="gramStart"/>
      <w:r>
        <w:rPr>
          <w:rFonts w:ascii="仿宋" w:eastAsia="仿宋" w:hAnsi="仿宋" w:cs="仿宋"/>
        </w:rPr>
        <w:t>医</w:t>
      </w:r>
      <w:proofErr w:type="gramEnd"/>
      <w:r>
        <w:rPr>
          <w:rFonts w:ascii="仿宋" w:eastAsia="仿宋" w:hAnsi="仿宋" w:cs="仿宋"/>
        </w:rPr>
        <w:t>保服务圈”。实现“15分钟</w:t>
      </w:r>
      <w:proofErr w:type="gramStart"/>
      <w:r>
        <w:rPr>
          <w:rFonts w:ascii="仿宋" w:eastAsia="仿宋" w:hAnsi="仿宋" w:cs="仿宋"/>
        </w:rPr>
        <w:t>医</w:t>
      </w:r>
      <w:proofErr w:type="gramEnd"/>
      <w:r>
        <w:rPr>
          <w:rFonts w:ascii="仿宋" w:eastAsia="仿宋" w:hAnsi="仿宋" w:cs="仿宋"/>
        </w:rPr>
        <w:t>保服务圈”102个乡镇（街道）、1230个村（社区）</w:t>
      </w:r>
      <w:proofErr w:type="gramStart"/>
      <w:r>
        <w:rPr>
          <w:rFonts w:ascii="仿宋" w:eastAsia="仿宋" w:hAnsi="仿宋" w:cs="仿宋"/>
        </w:rPr>
        <w:t>医</w:t>
      </w:r>
      <w:proofErr w:type="gramEnd"/>
      <w:r>
        <w:rPr>
          <w:rFonts w:ascii="仿宋" w:eastAsia="仿宋" w:hAnsi="仿宋" w:cs="仿宋"/>
        </w:rPr>
        <w:t>保服务点覆盖率100%。</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7.完善多层次保障体系，实施精准兜底保障</w:t>
      </w:r>
    </w:p>
    <w:p w:rsidR="00F03B22" w:rsidRDefault="00F74FD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一是生育保险方面。提高生育保险产前检查待遇，实施失业</w:t>
      </w:r>
      <w:r>
        <w:rPr>
          <w:rFonts w:ascii="仿宋" w:eastAsia="仿宋" w:hAnsi="仿宋" w:cs="仿宋"/>
        </w:rPr>
        <w:lastRenderedPageBreak/>
        <w:t>人员生育保险政策，落实“椎管内分娩镇痛”生育保险待遇。二是大病保险方面。2024年大病保险起付标准从2万元降低至1.5万元，困难人员从1万元降低至7500元。三是医疗救助方面。完善医疗救助一体化系统，增设“因病致贫”“因病返贫”等预警模块；加强医疗救助运行监管，对救助次数超过50次的救助对象进行短信提醒。四是长期护理险方面。调整筹资及享受标准，2024年度</w:t>
      </w:r>
      <w:proofErr w:type="gramStart"/>
      <w:r>
        <w:rPr>
          <w:rFonts w:ascii="仿宋" w:eastAsia="仿宋" w:hAnsi="仿宋" w:cs="仿宋"/>
        </w:rPr>
        <w:t>长护险筹资</w:t>
      </w:r>
      <w:proofErr w:type="gramEnd"/>
      <w:r>
        <w:rPr>
          <w:rFonts w:ascii="仿宋" w:eastAsia="仿宋" w:hAnsi="仿宋" w:cs="仿宋"/>
        </w:rPr>
        <w:t>标准每人增加30元；</w:t>
      </w:r>
      <w:proofErr w:type="gramStart"/>
      <w:r>
        <w:rPr>
          <w:rFonts w:ascii="仿宋" w:eastAsia="仿宋" w:hAnsi="仿宋" w:cs="仿宋"/>
        </w:rPr>
        <w:t>长护险居家</w:t>
      </w:r>
      <w:proofErr w:type="gramEnd"/>
      <w:r>
        <w:rPr>
          <w:rFonts w:ascii="仿宋" w:eastAsia="仿宋" w:hAnsi="仿宋" w:cs="仿宋"/>
        </w:rPr>
        <w:t>和机构享受待遇分别从45元/小时和60元/小时提高到50元/小时和70元/小时。同时，实施</w:t>
      </w:r>
      <w:proofErr w:type="gramStart"/>
      <w:r>
        <w:rPr>
          <w:rFonts w:ascii="仿宋" w:eastAsia="仿宋" w:hAnsi="仿宋" w:cs="仿宋"/>
        </w:rPr>
        <w:t>长护险辅助</w:t>
      </w:r>
      <w:proofErr w:type="gramEnd"/>
      <w:r>
        <w:rPr>
          <w:rFonts w:ascii="仿宋" w:eastAsia="仿宋" w:hAnsi="仿宋" w:cs="仿宋"/>
        </w:rPr>
        <w:t>器具政策，全市辅具适配评估7037人，适配辅具件数1.45万件。</w:t>
      </w:r>
    </w:p>
    <w:p w:rsidR="00F03B22" w:rsidRDefault="00F03B22">
      <w:pPr>
        <w:pStyle w:val="a4"/>
        <w:spacing w:line="235" w:lineRule="auto"/>
        <w:ind w:leftChars="300" w:left="669" w:right="2414" w:hanging="9"/>
        <w:jc w:val="both"/>
        <w:rPr>
          <w:rFonts w:ascii="仿宋" w:eastAsia="仿宋" w:hAnsi="仿宋" w:cs="仿宋"/>
          <w:lang w:val="en-US"/>
        </w:rPr>
        <w:sectPr w:rsidR="00F03B22">
          <w:footerReference w:type="default" r:id="rId11"/>
          <w:pgSz w:w="11906" w:h="16838"/>
          <w:pgMar w:top="1580" w:right="700" w:bottom="770" w:left="1020" w:header="283" w:footer="280" w:gutter="0"/>
          <w:pgNumType w:fmt="numberInDash"/>
          <w:cols w:space="720"/>
          <w:formProt w:val="0"/>
          <w:docGrid w:linePitch="100"/>
        </w:sectPr>
      </w:pPr>
    </w:p>
    <w:p w:rsidR="00F03B22" w:rsidRDefault="00F03B22">
      <w:pPr>
        <w:pStyle w:val="a4"/>
        <w:spacing w:line="360" w:lineRule="auto"/>
        <w:ind w:leftChars="200" w:left="440" w:rightChars="229" w:right="504" w:firstLine="658"/>
        <w:jc w:val="both"/>
        <w:rPr>
          <w:rFonts w:ascii="仿宋" w:eastAsia="仿宋" w:hAnsi="仿宋" w:cs="仿宋"/>
          <w:lang w:val="en-US"/>
        </w:rPr>
      </w:pPr>
    </w:p>
    <w:p w:rsidR="00F03B22" w:rsidRDefault="00F03B2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F03B22" w:rsidRDefault="00F03B2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F03B22" w:rsidRDefault="00F03B2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F03B22" w:rsidRDefault="00F03B2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F03B22" w:rsidRDefault="00F03B2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F03B22" w:rsidRDefault="00F03B2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F03B22" w:rsidRDefault="00F74FDD">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F03B22" w:rsidRDefault="00F74FDD">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南京市医疗保险管理中心</w:t>
      </w:r>
    </w:p>
    <w:p w:rsidR="00F03B22" w:rsidRDefault="00F74FDD">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F03B22">
        <w:trPr>
          <w:trHeight w:val="544"/>
          <w:jc w:val="center"/>
        </w:trPr>
        <w:tc>
          <w:tcPr>
            <w:tcW w:w="10447" w:type="dxa"/>
            <w:gridSpan w:val="5"/>
          </w:tcPr>
          <w:p w:rsidR="00F03B22" w:rsidRDefault="00F74FDD">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F03B22">
        <w:trPr>
          <w:trHeight w:val="348"/>
          <w:jc w:val="center"/>
        </w:trPr>
        <w:tc>
          <w:tcPr>
            <w:tcW w:w="3468" w:type="dxa"/>
          </w:tcPr>
          <w:p w:rsidR="00F03B22" w:rsidRDefault="00F03B22">
            <w:pPr>
              <w:rPr>
                <w:rFonts w:ascii="仿宋" w:eastAsia="仿宋" w:hAnsi="仿宋" w:cs="仿宋"/>
                <w:color w:val="000000"/>
                <w:sz w:val="20"/>
              </w:rPr>
            </w:pPr>
          </w:p>
        </w:tc>
        <w:tc>
          <w:tcPr>
            <w:tcW w:w="1777" w:type="dxa"/>
          </w:tcPr>
          <w:p w:rsidR="00F03B22" w:rsidRDefault="00F03B22">
            <w:pPr>
              <w:rPr>
                <w:rFonts w:ascii="仿宋" w:eastAsia="仿宋" w:hAnsi="仿宋" w:cs="仿宋"/>
                <w:color w:val="000000"/>
                <w:sz w:val="20"/>
              </w:rPr>
            </w:pPr>
          </w:p>
        </w:tc>
        <w:tc>
          <w:tcPr>
            <w:tcW w:w="5202" w:type="dxa"/>
            <w:gridSpan w:val="3"/>
          </w:tcPr>
          <w:p w:rsidR="00F03B22" w:rsidRDefault="00F74FDD">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F03B22">
        <w:trPr>
          <w:trHeight w:val="333"/>
          <w:jc w:val="center"/>
        </w:trPr>
        <w:tc>
          <w:tcPr>
            <w:tcW w:w="7280" w:type="dxa"/>
            <w:gridSpan w:val="3"/>
            <w:tcBorders>
              <w:bottom w:val="single" w:sz="4" w:space="0" w:color="000000"/>
            </w:tcBorders>
            <w:vAlign w:val="center"/>
          </w:tcPr>
          <w:p w:rsidR="00F03B22" w:rsidRDefault="00F74FDD">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南京市医疗保险管理中心</w:t>
            </w:r>
          </w:p>
        </w:tc>
        <w:tc>
          <w:tcPr>
            <w:tcW w:w="3167" w:type="dxa"/>
            <w:gridSpan w:val="2"/>
            <w:tcBorders>
              <w:bottom w:val="single" w:sz="4" w:space="0" w:color="000000"/>
            </w:tcBorders>
            <w:vAlign w:val="center"/>
          </w:tcPr>
          <w:p w:rsidR="00F03B22" w:rsidRDefault="00F74FDD">
            <w:pPr>
              <w:jc w:val="right"/>
              <w:rPr>
                <w:rFonts w:ascii="仿宋" w:eastAsia="仿宋" w:hAnsi="仿宋" w:cs="仿宋"/>
                <w:color w:val="000000"/>
              </w:rPr>
            </w:pPr>
            <w:r>
              <w:rPr>
                <w:rFonts w:ascii="仿宋" w:eastAsia="仿宋" w:hAnsi="仿宋" w:cs="仿宋" w:hint="eastAsia"/>
                <w:color w:val="000000"/>
              </w:rPr>
              <w:t>金额单位：万元</w:t>
            </w:r>
          </w:p>
        </w:tc>
      </w:tr>
      <w:tr w:rsidR="00F03B22">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jc w:val="center"/>
              <w:rPr>
                <w:rFonts w:ascii="仿宋" w:eastAsia="仿宋" w:hAnsi="仿宋" w:cs="仿宋"/>
                <w:color w:val="000000"/>
              </w:rPr>
            </w:pPr>
            <w:r>
              <w:rPr>
                <w:rFonts w:ascii="仿宋" w:eastAsia="仿宋" w:hAnsi="仿宋" w:cs="仿宋" w:hint="eastAsia"/>
                <w:color w:val="000000"/>
                <w:lang w:eastAsia="ar-SA"/>
              </w:rPr>
              <w:t>支出</w:t>
            </w:r>
          </w:p>
        </w:tc>
      </w:tr>
      <w:tr w:rsidR="00F03B22">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center"/>
              <w:rPr>
                <w:rFonts w:ascii="仿宋" w:eastAsia="仿宋" w:hAnsi="仿宋" w:cs="仿宋"/>
                <w:color w:val="000000"/>
              </w:rPr>
            </w:pPr>
            <w:r>
              <w:rPr>
                <w:rFonts w:ascii="仿宋" w:eastAsia="仿宋" w:hAnsi="仿宋" w:cs="仿宋" w:hint="eastAsia"/>
                <w:color w:val="000000"/>
                <w:lang w:eastAsia="ar-SA"/>
              </w:rPr>
              <w:t>决算数</w:t>
            </w: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74FDD">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5,033.46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74FDD">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74FDD">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74FDD">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74FDD">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74FDD">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74FDD">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74FDD">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904.79</w:t>
            </w: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3,118.09</w:t>
            </w: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985.32</w:t>
            </w: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03B2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keepNext/>
              <w:keepLines/>
              <w:jc w:val="right"/>
              <w:rPr>
                <w:rFonts w:ascii="仿宋" w:eastAsia="仿宋" w:hAnsi="仿宋" w:cs="仿宋"/>
                <w:color w:val="000000"/>
                <w:lang w:eastAsia="ar-SA"/>
              </w:rPr>
            </w:pPr>
          </w:p>
        </w:tc>
      </w:tr>
      <w:tr w:rsidR="00F03B22">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color w:val="000000"/>
              </w:rPr>
            </w:pPr>
            <w:r>
              <w:rPr>
                <w:rFonts w:ascii="仿宋" w:eastAsia="仿宋" w:hAnsi="仿宋" w:cs="仿宋" w:hint="eastAsia"/>
                <w:color w:val="000000"/>
                <w:lang w:eastAsia="ar-SA"/>
              </w:rPr>
              <w:t>5,033.46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color w:val="000000"/>
              </w:rPr>
            </w:pPr>
            <w:r>
              <w:rPr>
                <w:rFonts w:ascii="仿宋" w:eastAsia="仿宋" w:hAnsi="仿宋" w:cs="仿宋" w:hint="eastAsia"/>
                <w:color w:val="000000"/>
                <w:lang w:eastAsia="ar-SA"/>
              </w:rPr>
              <w:t>5,008.20</w:t>
            </w:r>
          </w:p>
        </w:tc>
      </w:tr>
      <w:tr w:rsidR="00F03B22">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74FDD">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color w:val="000000"/>
              </w:rPr>
            </w:pPr>
          </w:p>
        </w:tc>
      </w:tr>
      <w:tr w:rsidR="00F03B22">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74FDD">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color w:val="000000"/>
              </w:rPr>
            </w:pPr>
            <w:r>
              <w:rPr>
                <w:rFonts w:ascii="仿宋" w:eastAsia="仿宋" w:hAnsi="仿宋" w:cs="仿宋" w:hint="eastAsia"/>
                <w:color w:val="000000"/>
                <w:lang w:eastAsia="ar-SA"/>
              </w:rPr>
              <w:t>25.27</w:t>
            </w:r>
          </w:p>
        </w:tc>
      </w:tr>
      <w:tr w:rsidR="00F03B22">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F03B22" w:rsidRDefault="00F03B22">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F03B22" w:rsidRDefault="00F03B22">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F03B22" w:rsidRDefault="00F03B22">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F03B22" w:rsidRDefault="00F03B22">
            <w:pPr>
              <w:rPr>
                <w:rFonts w:ascii="仿宋" w:eastAsia="仿宋" w:hAnsi="仿宋" w:cs="仿宋"/>
                <w:color w:val="000000"/>
              </w:rPr>
            </w:pPr>
          </w:p>
        </w:tc>
      </w:tr>
      <w:tr w:rsidR="00F03B22">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color w:val="000000"/>
              </w:rPr>
            </w:pPr>
            <w:r>
              <w:rPr>
                <w:rFonts w:ascii="仿宋" w:eastAsia="仿宋" w:hAnsi="仿宋" w:cs="仿宋" w:hint="eastAsia"/>
                <w:color w:val="000000"/>
                <w:lang w:eastAsia="ar-SA"/>
              </w:rPr>
              <w:t>5,033.46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color w:val="000000"/>
              </w:rPr>
            </w:pPr>
            <w:r>
              <w:rPr>
                <w:rFonts w:ascii="仿宋" w:eastAsia="仿宋" w:hAnsi="仿宋" w:cs="仿宋" w:hint="eastAsia"/>
                <w:color w:val="000000"/>
                <w:lang w:eastAsia="ar-SA"/>
              </w:rPr>
              <w:t>5,033.46</w:t>
            </w:r>
          </w:p>
        </w:tc>
      </w:tr>
    </w:tbl>
    <w:p w:rsidR="00F03B22" w:rsidRDefault="00F74FDD">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F03B22" w:rsidRDefault="00F03B22">
      <w:pPr>
        <w:spacing w:before="66"/>
        <w:jc w:val="both"/>
        <w:rPr>
          <w:rFonts w:ascii="仿宋" w:eastAsia="仿宋" w:hAnsi="仿宋" w:cs="仿宋"/>
          <w:color w:val="000000"/>
          <w:lang w:val="en-US"/>
        </w:rPr>
        <w:sectPr w:rsidR="00F03B22">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F03B22">
        <w:trPr>
          <w:trHeight w:val="403"/>
          <w:jc w:val="center"/>
        </w:trPr>
        <w:tc>
          <w:tcPr>
            <w:tcW w:w="16660" w:type="dxa"/>
            <w:gridSpan w:val="10"/>
            <w:vAlign w:val="center"/>
          </w:tcPr>
          <w:p w:rsidR="00F03B22" w:rsidRDefault="00F74FDD">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F03B22">
        <w:trPr>
          <w:trHeight w:val="247"/>
          <w:jc w:val="center"/>
        </w:trPr>
        <w:tc>
          <w:tcPr>
            <w:tcW w:w="4357" w:type="dxa"/>
            <w:gridSpan w:val="2"/>
            <w:vAlign w:val="center"/>
          </w:tcPr>
          <w:p w:rsidR="00F03B22" w:rsidRDefault="00F03B22">
            <w:pPr>
              <w:pStyle w:val="TableParagraph"/>
              <w:jc w:val="center"/>
              <w:rPr>
                <w:rFonts w:ascii="仿宋" w:eastAsia="仿宋" w:hAnsi="仿宋" w:cs="仿宋"/>
              </w:rPr>
            </w:pPr>
          </w:p>
        </w:tc>
        <w:tc>
          <w:tcPr>
            <w:tcW w:w="1716" w:type="dxa"/>
            <w:vAlign w:val="center"/>
          </w:tcPr>
          <w:p w:rsidR="00F03B22" w:rsidRDefault="00F03B22">
            <w:pPr>
              <w:pStyle w:val="TableParagraph"/>
              <w:jc w:val="center"/>
              <w:rPr>
                <w:rFonts w:ascii="仿宋" w:eastAsia="仿宋" w:hAnsi="仿宋" w:cs="仿宋"/>
              </w:rPr>
            </w:pPr>
          </w:p>
        </w:tc>
        <w:tc>
          <w:tcPr>
            <w:tcW w:w="1728" w:type="dxa"/>
            <w:vAlign w:val="center"/>
          </w:tcPr>
          <w:p w:rsidR="00F03B22" w:rsidRDefault="00F03B22">
            <w:pPr>
              <w:pStyle w:val="TableParagraph"/>
              <w:jc w:val="center"/>
              <w:rPr>
                <w:rFonts w:ascii="仿宋" w:eastAsia="仿宋" w:hAnsi="仿宋" w:cs="仿宋"/>
              </w:rPr>
            </w:pPr>
          </w:p>
        </w:tc>
        <w:tc>
          <w:tcPr>
            <w:tcW w:w="1686" w:type="dxa"/>
            <w:vAlign w:val="center"/>
          </w:tcPr>
          <w:p w:rsidR="00F03B22" w:rsidRDefault="00F03B22">
            <w:pPr>
              <w:pStyle w:val="TableParagraph"/>
              <w:jc w:val="center"/>
              <w:rPr>
                <w:rFonts w:ascii="仿宋" w:eastAsia="仿宋" w:hAnsi="仿宋" w:cs="仿宋"/>
              </w:rPr>
            </w:pPr>
          </w:p>
        </w:tc>
        <w:tc>
          <w:tcPr>
            <w:tcW w:w="3207" w:type="dxa"/>
            <w:gridSpan w:val="2"/>
            <w:vAlign w:val="center"/>
          </w:tcPr>
          <w:p w:rsidR="00F03B22" w:rsidRDefault="00F03B22">
            <w:pPr>
              <w:pStyle w:val="TableParagraph"/>
              <w:jc w:val="center"/>
              <w:rPr>
                <w:rFonts w:ascii="仿宋" w:eastAsia="仿宋" w:hAnsi="仿宋" w:cs="仿宋"/>
              </w:rPr>
            </w:pPr>
          </w:p>
        </w:tc>
        <w:tc>
          <w:tcPr>
            <w:tcW w:w="1263" w:type="dxa"/>
            <w:vAlign w:val="center"/>
          </w:tcPr>
          <w:p w:rsidR="00F03B22" w:rsidRDefault="00F03B22">
            <w:pPr>
              <w:pStyle w:val="TableParagraph"/>
              <w:jc w:val="center"/>
              <w:rPr>
                <w:rFonts w:ascii="仿宋" w:eastAsia="仿宋" w:hAnsi="仿宋" w:cs="仿宋"/>
              </w:rPr>
            </w:pPr>
          </w:p>
        </w:tc>
        <w:tc>
          <w:tcPr>
            <w:tcW w:w="2703" w:type="dxa"/>
            <w:gridSpan w:val="2"/>
            <w:vAlign w:val="center"/>
          </w:tcPr>
          <w:p w:rsidR="00F03B22" w:rsidRDefault="00F74FDD">
            <w:pPr>
              <w:pStyle w:val="TableParagraph"/>
              <w:jc w:val="right"/>
              <w:rPr>
                <w:rFonts w:ascii="仿宋" w:eastAsia="仿宋" w:hAnsi="仿宋" w:cs="仿宋"/>
              </w:rPr>
            </w:pPr>
            <w:r>
              <w:rPr>
                <w:rFonts w:ascii="仿宋" w:eastAsia="仿宋" w:hAnsi="仿宋" w:cs="仿宋" w:hint="eastAsia"/>
              </w:rPr>
              <w:t>公开02表</w:t>
            </w:r>
          </w:p>
        </w:tc>
      </w:tr>
      <w:tr w:rsidR="00F03B22">
        <w:trPr>
          <w:trHeight w:val="247"/>
          <w:jc w:val="center"/>
        </w:trPr>
        <w:tc>
          <w:tcPr>
            <w:tcW w:w="13957" w:type="dxa"/>
            <w:gridSpan w:val="8"/>
            <w:vAlign w:val="center"/>
          </w:tcPr>
          <w:p w:rsidR="00F03B22" w:rsidRDefault="00F74FD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南京市医疗保险管理中心</w:t>
            </w:r>
          </w:p>
        </w:tc>
        <w:tc>
          <w:tcPr>
            <w:tcW w:w="2703" w:type="dxa"/>
            <w:gridSpan w:val="2"/>
            <w:vAlign w:val="center"/>
          </w:tcPr>
          <w:p w:rsidR="00F03B22" w:rsidRDefault="00F74FDD">
            <w:pPr>
              <w:pStyle w:val="TableParagraph"/>
              <w:jc w:val="right"/>
              <w:rPr>
                <w:rFonts w:ascii="仿宋" w:eastAsia="仿宋" w:hAnsi="仿宋" w:cs="仿宋"/>
              </w:rPr>
            </w:pPr>
            <w:r>
              <w:rPr>
                <w:rFonts w:ascii="仿宋" w:eastAsia="仿宋" w:hAnsi="仿宋" w:cs="仿宋" w:hint="eastAsia"/>
              </w:rPr>
              <w:t>金额单位：万元</w:t>
            </w:r>
          </w:p>
        </w:tc>
      </w:tr>
      <w:tr w:rsidR="00F03B22">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其他收入</w:t>
            </w:r>
          </w:p>
        </w:tc>
      </w:tr>
      <w:tr w:rsidR="00F03B22">
        <w:trPr>
          <w:cantSplit/>
          <w:trHeight w:val="502"/>
          <w:jc w:val="center"/>
        </w:trPr>
        <w:tc>
          <w:tcPr>
            <w:tcW w:w="1201"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功能分类</w:t>
            </w:r>
          </w:p>
          <w:p w:rsidR="00F03B22" w:rsidRDefault="00F74FDD">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F03B22" w:rsidRDefault="00F03B22">
            <w:pPr>
              <w:rPr>
                <w:rFonts w:ascii="仿宋" w:eastAsia="仿宋" w:hAnsi="仿宋" w:cs="仿宋"/>
              </w:rPr>
            </w:pPr>
          </w:p>
        </w:tc>
        <w:tc>
          <w:tcPr>
            <w:tcW w:w="1728" w:type="dxa"/>
            <w:vMerge/>
            <w:tcBorders>
              <w:left w:val="single" w:sz="4" w:space="0" w:color="000000"/>
              <w:bottom w:val="single" w:sz="4" w:space="0" w:color="000000"/>
            </w:tcBorders>
          </w:tcPr>
          <w:p w:rsidR="00F03B22" w:rsidRDefault="00F03B22">
            <w:pPr>
              <w:rPr>
                <w:rFonts w:ascii="仿宋" w:eastAsia="仿宋" w:hAnsi="仿宋" w:cs="仿宋"/>
              </w:rPr>
            </w:pPr>
          </w:p>
        </w:tc>
        <w:tc>
          <w:tcPr>
            <w:tcW w:w="1686" w:type="dxa"/>
            <w:vMerge/>
            <w:tcBorders>
              <w:left w:val="single" w:sz="4" w:space="0" w:color="000000"/>
              <w:bottom w:val="single" w:sz="4" w:space="0" w:color="000000"/>
            </w:tcBorders>
          </w:tcPr>
          <w:p w:rsidR="00F03B22" w:rsidRDefault="00F03B22">
            <w:pPr>
              <w:rPr>
                <w:rFonts w:ascii="仿宋" w:eastAsia="仿宋" w:hAnsi="仿宋" w:cs="仿宋"/>
              </w:rPr>
            </w:pPr>
          </w:p>
        </w:tc>
        <w:tc>
          <w:tcPr>
            <w:tcW w:w="1503" w:type="dxa"/>
            <w:vMerge/>
            <w:tcBorders>
              <w:left w:val="single" w:sz="4" w:space="0" w:color="000000"/>
              <w:bottom w:val="single" w:sz="4" w:space="0" w:color="000000"/>
            </w:tcBorders>
            <w:vAlign w:val="center"/>
          </w:tcPr>
          <w:p w:rsidR="00F03B22" w:rsidRDefault="00F03B22">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F03B22" w:rsidRDefault="00F03B22">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F03B22" w:rsidRDefault="00F03B22">
            <w:pPr>
              <w:rPr>
                <w:rFonts w:ascii="仿宋" w:eastAsia="仿宋" w:hAnsi="仿宋" w:cs="仿宋"/>
              </w:rPr>
            </w:pPr>
          </w:p>
        </w:tc>
        <w:tc>
          <w:tcPr>
            <w:tcW w:w="1375" w:type="dxa"/>
            <w:vMerge/>
            <w:tcBorders>
              <w:left w:val="single" w:sz="4" w:space="0" w:color="000000"/>
              <w:bottom w:val="single" w:sz="4" w:space="0" w:color="000000"/>
            </w:tcBorders>
          </w:tcPr>
          <w:p w:rsidR="00F03B22" w:rsidRDefault="00F03B22">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F03B22" w:rsidRDefault="00F03B22">
            <w:pPr>
              <w:rPr>
                <w:rFonts w:ascii="仿宋" w:eastAsia="仿宋" w:hAnsi="仿宋" w:cs="仿宋"/>
              </w:rPr>
            </w:pPr>
          </w:p>
        </w:tc>
      </w:tr>
      <w:tr w:rsidR="00F03B22">
        <w:trPr>
          <w:cantSplit/>
          <w:trHeight w:hRule="exact" w:val="267"/>
          <w:jc w:val="center"/>
        </w:trPr>
        <w:tc>
          <w:tcPr>
            <w:tcW w:w="4357" w:type="dxa"/>
            <w:gridSpan w:val="2"/>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F03B22" w:rsidRDefault="00F74FDD">
            <w:pPr>
              <w:jc w:val="right"/>
              <w:rPr>
                <w:rFonts w:ascii="仿宋" w:eastAsia="仿宋" w:hAnsi="仿宋" w:cs="仿宋"/>
                <w:sz w:val="20"/>
                <w:szCs w:val="20"/>
              </w:rPr>
            </w:pPr>
            <w:r>
              <w:rPr>
                <w:rFonts w:ascii="仿宋" w:eastAsia="仿宋" w:hAnsi="仿宋" w:cs="仿宋" w:hint="eastAsia"/>
                <w:sz w:val="20"/>
                <w:szCs w:val="20"/>
              </w:rPr>
              <w:t>5,033.46</w:t>
            </w:r>
          </w:p>
        </w:tc>
        <w:tc>
          <w:tcPr>
            <w:tcW w:w="1728" w:type="dxa"/>
            <w:tcBorders>
              <w:left w:val="single" w:sz="4" w:space="0" w:color="000000"/>
              <w:bottom w:val="single" w:sz="4" w:space="0" w:color="000000"/>
            </w:tcBorders>
            <w:vAlign w:val="center"/>
          </w:tcPr>
          <w:p w:rsidR="00F03B22" w:rsidRDefault="00F74FDD">
            <w:pPr>
              <w:jc w:val="right"/>
              <w:rPr>
                <w:rFonts w:ascii="仿宋" w:eastAsia="仿宋" w:hAnsi="仿宋" w:cs="仿宋"/>
                <w:sz w:val="20"/>
                <w:szCs w:val="20"/>
              </w:rPr>
            </w:pPr>
            <w:r>
              <w:rPr>
                <w:rFonts w:ascii="仿宋" w:eastAsia="仿宋" w:hAnsi="仿宋" w:cs="仿宋" w:hint="eastAsia"/>
                <w:sz w:val="20"/>
                <w:szCs w:val="20"/>
              </w:rPr>
              <w:t>5,033.46</w:t>
            </w:r>
          </w:p>
        </w:tc>
        <w:tc>
          <w:tcPr>
            <w:tcW w:w="1686" w:type="dxa"/>
            <w:tcBorders>
              <w:left w:val="single" w:sz="4" w:space="0" w:color="000000"/>
              <w:bottom w:val="single" w:sz="4" w:space="0" w:color="000000"/>
            </w:tcBorders>
            <w:vAlign w:val="center"/>
          </w:tcPr>
          <w:p w:rsidR="00F03B22" w:rsidRDefault="00F03B22">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F03B22" w:rsidRDefault="00F03B22">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F03B22" w:rsidRDefault="00F03B22">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F03B22" w:rsidRDefault="00F03B22">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F03B22" w:rsidRDefault="00F03B22">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904.79</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904.79</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347.84</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347.84</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9.73</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9.73</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225.41</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225.41</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112.70</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112.70</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20810</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社会福利</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380.00</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380.00</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2081099</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其他社会福利支出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380.00</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380.00</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20899</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176.95</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176.95</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176.95</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176.95</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3,143.28</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3,143.28</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21001</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卫生健康管理事务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135.61</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135.61</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2100101</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135.61</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135.61</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21014</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优抚对象医疗</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130.50</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130.50</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2101401</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优抚对象医疗补助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130.50</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130.50</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21015</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医疗保障管理事务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2,877.17</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2,877.17</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2101502</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3.56</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3.56</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2101506</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医疗保障经办事务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2,780.28</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2,780.28</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2101550</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1.39</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1.39</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2101599</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其他医疗保障管理事务支出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91.94</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91.94</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985.39</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985.39</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985.39</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985.39</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302.14</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302.14</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r w:rsidR="00F03B2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lastRenderedPageBreak/>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683.25</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20"/>
                <w:szCs w:val="20"/>
              </w:rPr>
            </w:pPr>
            <w:r>
              <w:rPr>
                <w:rFonts w:ascii="仿宋" w:eastAsia="仿宋" w:hAnsi="仿宋" w:cs="仿宋" w:hint="eastAsia"/>
                <w:sz w:val="20"/>
                <w:szCs w:val="20"/>
              </w:rPr>
              <w:t>683.25</w:t>
            </w:r>
          </w:p>
        </w:tc>
        <w:tc>
          <w:tcPr>
            <w:tcW w:w="168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sz w:val="20"/>
                <w:szCs w:val="20"/>
              </w:rPr>
            </w:pPr>
          </w:p>
        </w:tc>
      </w:tr>
    </w:tbl>
    <w:p w:rsidR="00F03B22" w:rsidRDefault="00F74FDD">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F03B22" w:rsidRDefault="00F03B22">
      <w:pPr>
        <w:spacing w:before="66"/>
        <w:ind w:left="57" w:firstLineChars="100" w:firstLine="220"/>
        <w:jc w:val="both"/>
        <w:rPr>
          <w:rFonts w:ascii="仿宋" w:eastAsia="仿宋" w:hAnsi="仿宋" w:cs="仿宋"/>
        </w:rPr>
        <w:sectPr w:rsidR="00F03B22">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F03B22">
        <w:trPr>
          <w:trHeight w:val="532"/>
        </w:trPr>
        <w:tc>
          <w:tcPr>
            <w:tcW w:w="15689" w:type="dxa"/>
            <w:gridSpan w:val="8"/>
            <w:vAlign w:val="center"/>
          </w:tcPr>
          <w:p w:rsidR="00F03B22" w:rsidRDefault="00F74FDD">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F03B22">
        <w:trPr>
          <w:trHeight w:val="227"/>
        </w:trPr>
        <w:tc>
          <w:tcPr>
            <w:tcW w:w="5115" w:type="dxa"/>
            <w:gridSpan w:val="2"/>
            <w:vAlign w:val="center"/>
          </w:tcPr>
          <w:p w:rsidR="00F03B22" w:rsidRDefault="00F03B22">
            <w:pPr>
              <w:pStyle w:val="TableParagraph"/>
              <w:jc w:val="center"/>
              <w:rPr>
                <w:rFonts w:ascii="仿宋" w:eastAsia="仿宋" w:hAnsi="仿宋" w:cs="仿宋"/>
              </w:rPr>
            </w:pPr>
          </w:p>
        </w:tc>
        <w:tc>
          <w:tcPr>
            <w:tcW w:w="2164" w:type="dxa"/>
            <w:vAlign w:val="center"/>
          </w:tcPr>
          <w:p w:rsidR="00F03B22" w:rsidRDefault="00F03B22">
            <w:pPr>
              <w:pStyle w:val="TableParagraph"/>
              <w:jc w:val="center"/>
              <w:rPr>
                <w:rFonts w:ascii="仿宋" w:eastAsia="仿宋" w:hAnsi="仿宋" w:cs="仿宋"/>
                <w:sz w:val="20"/>
              </w:rPr>
            </w:pPr>
          </w:p>
        </w:tc>
        <w:tc>
          <w:tcPr>
            <w:tcW w:w="1897" w:type="dxa"/>
            <w:vAlign w:val="center"/>
          </w:tcPr>
          <w:p w:rsidR="00F03B22" w:rsidRDefault="00F03B22">
            <w:pPr>
              <w:pStyle w:val="TableParagraph"/>
              <w:jc w:val="center"/>
              <w:rPr>
                <w:rFonts w:ascii="仿宋" w:eastAsia="仿宋" w:hAnsi="仿宋" w:cs="仿宋"/>
                <w:sz w:val="20"/>
              </w:rPr>
            </w:pPr>
          </w:p>
        </w:tc>
        <w:tc>
          <w:tcPr>
            <w:tcW w:w="1739" w:type="dxa"/>
            <w:vAlign w:val="center"/>
          </w:tcPr>
          <w:p w:rsidR="00F03B22" w:rsidRDefault="00F03B22">
            <w:pPr>
              <w:pStyle w:val="TableParagraph"/>
              <w:jc w:val="center"/>
              <w:rPr>
                <w:rFonts w:ascii="仿宋" w:eastAsia="仿宋" w:hAnsi="仿宋" w:cs="仿宋"/>
                <w:sz w:val="20"/>
              </w:rPr>
            </w:pPr>
          </w:p>
        </w:tc>
        <w:tc>
          <w:tcPr>
            <w:tcW w:w="1715" w:type="dxa"/>
            <w:vAlign w:val="center"/>
          </w:tcPr>
          <w:p w:rsidR="00F03B22" w:rsidRDefault="00F03B22">
            <w:pPr>
              <w:pStyle w:val="TableParagraph"/>
              <w:jc w:val="center"/>
              <w:rPr>
                <w:rFonts w:ascii="仿宋" w:eastAsia="仿宋" w:hAnsi="仿宋" w:cs="仿宋"/>
                <w:sz w:val="20"/>
              </w:rPr>
            </w:pPr>
          </w:p>
        </w:tc>
        <w:tc>
          <w:tcPr>
            <w:tcW w:w="3059" w:type="dxa"/>
            <w:gridSpan w:val="2"/>
            <w:vAlign w:val="center"/>
          </w:tcPr>
          <w:p w:rsidR="00F03B22" w:rsidRDefault="00F74FDD">
            <w:pPr>
              <w:pStyle w:val="TableParagraph"/>
              <w:jc w:val="right"/>
              <w:rPr>
                <w:rFonts w:ascii="仿宋" w:eastAsia="仿宋" w:hAnsi="仿宋" w:cs="仿宋"/>
              </w:rPr>
            </w:pPr>
            <w:r>
              <w:rPr>
                <w:rFonts w:ascii="仿宋" w:eastAsia="仿宋" w:hAnsi="仿宋" w:cs="仿宋" w:hint="eastAsia"/>
              </w:rPr>
              <w:t>公开03表</w:t>
            </w:r>
          </w:p>
        </w:tc>
      </w:tr>
      <w:tr w:rsidR="00F03B22">
        <w:trPr>
          <w:trHeight w:val="90"/>
        </w:trPr>
        <w:tc>
          <w:tcPr>
            <w:tcW w:w="12630" w:type="dxa"/>
            <w:gridSpan w:val="6"/>
            <w:vAlign w:val="center"/>
          </w:tcPr>
          <w:p w:rsidR="00F03B22" w:rsidRDefault="00F74FD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南京市医疗保险管理中心</w:t>
            </w:r>
          </w:p>
        </w:tc>
        <w:tc>
          <w:tcPr>
            <w:tcW w:w="3059" w:type="dxa"/>
            <w:gridSpan w:val="2"/>
            <w:vAlign w:val="center"/>
          </w:tcPr>
          <w:p w:rsidR="00F03B22" w:rsidRDefault="00F74FDD">
            <w:pPr>
              <w:pStyle w:val="TableParagraph"/>
              <w:jc w:val="right"/>
              <w:rPr>
                <w:rFonts w:ascii="仿宋" w:eastAsia="仿宋" w:hAnsi="仿宋" w:cs="仿宋"/>
              </w:rPr>
            </w:pPr>
            <w:r>
              <w:rPr>
                <w:rFonts w:ascii="仿宋" w:eastAsia="仿宋" w:hAnsi="仿宋" w:cs="仿宋" w:hint="eastAsia"/>
              </w:rPr>
              <w:t>金额单位：万元</w:t>
            </w:r>
          </w:p>
        </w:tc>
      </w:tr>
      <w:tr w:rsidR="00F03B22">
        <w:trPr>
          <w:trHeight w:val="90"/>
        </w:trPr>
        <w:tc>
          <w:tcPr>
            <w:tcW w:w="5115" w:type="dxa"/>
            <w:gridSpan w:val="2"/>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对附属单位补助支出</w:t>
            </w:r>
          </w:p>
        </w:tc>
      </w:tr>
      <w:tr w:rsidR="00F03B22">
        <w:trPr>
          <w:trHeight w:val="176"/>
        </w:trPr>
        <w:tc>
          <w:tcPr>
            <w:tcW w:w="1188"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功能分类</w:t>
            </w:r>
          </w:p>
          <w:p w:rsidR="00F03B22" w:rsidRDefault="00F74FDD">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F03B22" w:rsidRDefault="00F03B22">
            <w:pPr>
              <w:rPr>
                <w:rFonts w:ascii="仿宋" w:eastAsia="仿宋" w:hAnsi="仿宋" w:cs="仿宋"/>
              </w:rPr>
            </w:pPr>
          </w:p>
        </w:tc>
        <w:tc>
          <w:tcPr>
            <w:tcW w:w="1897" w:type="dxa"/>
            <w:vMerge/>
            <w:tcBorders>
              <w:left w:val="single" w:sz="4" w:space="0" w:color="000000"/>
              <w:bottom w:val="single" w:sz="4" w:space="0" w:color="000000"/>
            </w:tcBorders>
          </w:tcPr>
          <w:p w:rsidR="00F03B22" w:rsidRDefault="00F03B22">
            <w:pPr>
              <w:rPr>
                <w:rFonts w:ascii="仿宋" w:eastAsia="仿宋" w:hAnsi="仿宋" w:cs="仿宋"/>
              </w:rPr>
            </w:pPr>
          </w:p>
        </w:tc>
        <w:tc>
          <w:tcPr>
            <w:tcW w:w="1739" w:type="dxa"/>
            <w:vMerge/>
            <w:tcBorders>
              <w:left w:val="single" w:sz="4" w:space="0" w:color="000000"/>
              <w:bottom w:val="single" w:sz="4" w:space="0" w:color="000000"/>
            </w:tcBorders>
          </w:tcPr>
          <w:p w:rsidR="00F03B22" w:rsidRDefault="00F03B22">
            <w:pPr>
              <w:rPr>
                <w:rFonts w:ascii="仿宋" w:eastAsia="仿宋" w:hAnsi="仿宋" w:cs="仿宋"/>
              </w:rPr>
            </w:pPr>
          </w:p>
        </w:tc>
        <w:tc>
          <w:tcPr>
            <w:tcW w:w="1715" w:type="dxa"/>
            <w:vMerge/>
            <w:tcBorders>
              <w:left w:val="single" w:sz="4" w:space="0" w:color="000000"/>
              <w:bottom w:val="single" w:sz="4" w:space="0" w:color="000000"/>
            </w:tcBorders>
          </w:tcPr>
          <w:p w:rsidR="00F03B22" w:rsidRDefault="00F03B22">
            <w:pPr>
              <w:rPr>
                <w:rFonts w:ascii="仿宋" w:eastAsia="仿宋" w:hAnsi="仿宋" w:cs="仿宋"/>
              </w:rPr>
            </w:pPr>
          </w:p>
        </w:tc>
        <w:tc>
          <w:tcPr>
            <w:tcW w:w="1633" w:type="dxa"/>
            <w:vMerge/>
            <w:tcBorders>
              <w:left w:val="single" w:sz="4" w:space="0" w:color="000000"/>
              <w:bottom w:val="single" w:sz="4" w:space="0" w:color="000000"/>
            </w:tcBorders>
          </w:tcPr>
          <w:p w:rsidR="00F03B22" w:rsidRDefault="00F03B22">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F03B22" w:rsidRDefault="00F03B22">
            <w:pPr>
              <w:rPr>
                <w:rFonts w:ascii="仿宋" w:eastAsia="仿宋" w:hAnsi="仿宋" w:cs="仿宋"/>
              </w:rPr>
            </w:pPr>
          </w:p>
        </w:tc>
      </w:tr>
      <w:tr w:rsidR="00F03B22">
        <w:trPr>
          <w:trHeight w:hRule="exact" w:val="382"/>
        </w:trPr>
        <w:tc>
          <w:tcPr>
            <w:tcW w:w="5115" w:type="dxa"/>
            <w:gridSpan w:val="2"/>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5,008.20</w:t>
            </w:r>
          </w:p>
        </w:tc>
        <w:tc>
          <w:tcPr>
            <w:tcW w:w="1897" w:type="dxa"/>
            <w:tcBorders>
              <w:left w:val="single" w:sz="4" w:space="0" w:color="000000"/>
              <w:bottom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4,111.10</w:t>
            </w:r>
          </w:p>
        </w:tc>
        <w:tc>
          <w:tcPr>
            <w:tcW w:w="1739" w:type="dxa"/>
            <w:tcBorders>
              <w:left w:val="single" w:sz="4" w:space="0" w:color="000000"/>
              <w:bottom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897.10</w:t>
            </w:r>
          </w:p>
        </w:tc>
        <w:tc>
          <w:tcPr>
            <w:tcW w:w="1715" w:type="dxa"/>
            <w:tcBorders>
              <w:left w:val="single" w:sz="4" w:space="0" w:color="000000"/>
              <w:bottom w:val="single" w:sz="4" w:space="0" w:color="000000"/>
            </w:tcBorders>
            <w:vAlign w:val="center"/>
          </w:tcPr>
          <w:p w:rsidR="00F03B22" w:rsidRDefault="00F03B22">
            <w:pPr>
              <w:jc w:val="right"/>
              <w:rPr>
                <w:rFonts w:ascii="仿宋" w:eastAsia="仿宋" w:hAnsi="仿宋" w:cs="仿宋"/>
              </w:rPr>
            </w:pPr>
          </w:p>
        </w:tc>
        <w:tc>
          <w:tcPr>
            <w:tcW w:w="1633" w:type="dxa"/>
            <w:tcBorders>
              <w:left w:val="single" w:sz="4" w:space="0" w:color="000000"/>
              <w:bottom w:val="single" w:sz="4" w:space="0" w:color="000000"/>
            </w:tcBorders>
            <w:vAlign w:val="center"/>
          </w:tcPr>
          <w:p w:rsidR="00F03B22" w:rsidRDefault="00F03B22">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904.79</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347.84</w:t>
            </w:r>
          </w:p>
        </w:tc>
        <w:tc>
          <w:tcPr>
            <w:tcW w:w="1739"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556.95</w:t>
            </w: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347.84</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347.84</w:t>
            </w:r>
          </w:p>
        </w:tc>
        <w:tc>
          <w:tcPr>
            <w:tcW w:w="1739"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行政单位离退休</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9.73</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9.73</w:t>
            </w:r>
          </w:p>
        </w:tc>
        <w:tc>
          <w:tcPr>
            <w:tcW w:w="1739"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225.41</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225.41</w:t>
            </w:r>
          </w:p>
        </w:tc>
        <w:tc>
          <w:tcPr>
            <w:tcW w:w="1739"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112.70</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112.70</w:t>
            </w:r>
          </w:p>
        </w:tc>
        <w:tc>
          <w:tcPr>
            <w:tcW w:w="1739"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20810</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社会福利</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380.00</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380.00</w:t>
            </w: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2081099</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其他社会福利支出</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380.00</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380.00</w:t>
            </w: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20899</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176.95</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176.95</w:t>
            </w: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2089999</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176.95</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176.95</w:t>
            </w: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210</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3,118.09</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2,777.94</w:t>
            </w:r>
          </w:p>
        </w:tc>
        <w:tc>
          <w:tcPr>
            <w:tcW w:w="1739"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340.15</w:t>
            </w: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21001</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卫生健康管理事务</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123.50</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123.50</w:t>
            </w:r>
          </w:p>
        </w:tc>
        <w:tc>
          <w:tcPr>
            <w:tcW w:w="1739"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2100101</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行政运行</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123.50</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123.50</w:t>
            </w:r>
          </w:p>
        </w:tc>
        <w:tc>
          <w:tcPr>
            <w:tcW w:w="1739"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21014</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优抚对象医疗</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130.50</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130.50</w:t>
            </w: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2101401</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优抚对象医疗补助</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130.50</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130.50</w:t>
            </w: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21015</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医疗保障管理事务</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2,864.09</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2,654.44</w:t>
            </w:r>
          </w:p>
        </w:tc>
        <w:tc>
          <w:tcPr>
            <w:tcW w:w="1739"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209.65</w:t>
            </w: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lastRenderedPageBreak/>
              <w:t>2101502</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3.56</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3.56</w:t>
            </w: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2101506</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医疗保障经办事务</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2,767.20</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2,653.05</w:t>
            </w:r>
          </w:p>
        </w:tc>
        <w:tc>
          <w:tcPr>
            <w:tcW w:w="1739"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114.15</w:t>
            </w: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2101550</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事业运行</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1.39</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1.39</w:t>
            </w:r>
          </w:p>
        </w:tc>
        <w:tc>
          <w:tcPr>
            <w:tcW w:w="1739"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2101599</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其他医疗保障管理事务支出</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91.94</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91.94</w:t>
            </w: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985.32</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985.32</w:t>
            </w:r>
          </w:p>
        </w:tc>
        <w:tc>
          <w:tcPr>
            <w:tcW w:w="1739"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985.32</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985.32</w:t>
            </w:r>
          </w:p>
        </w:tc>
        <w:tc>
          <w:tcPr>
            <w:tcW w:w="1739"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302.07</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302.07</w:t>
            </w:r>
          </w:p>
        </w:tc>
        <w:tc>
          <w:tcPr>
            <w:tcW w:w="1739"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r w:rsidR="00F03B2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683.25</w:t>
            </w:r>
          </w:p>
        </w:tc>
        <w:tc>
          <w:tcPr>
            <w:tcW w:w="1897" w:type="dxa"/>
            <w:tcBorders>
              <w:top w:val="single" w:sz="4" w:space="0" w:color="000000"/>
              <w:left w:val="single" w:sz="4" w:space="0" w:color="000000"/>
              <w:bottom w:val="single" w:sz="4" w:space="0" w:color="000000"/>
              <w:right w:val="single" w:sz="4" w:space="0" w:color="000000"/>
            </w:tcBorders>
          </w:tcPr>
          <w:p w:rsidR="00F03B22" w:rsidRDefault="00F74FDD">
            <w:pPr>
              <w:pStyle w:val="TableParagraph"/>
              <w:spacing w:before="30"/>
              <w:ind w:left="107"/>
              <w:jc w:val="right"/>
              <w:rPr>
                <w:rFonts w:ascii="仿宋" w:eastAsia="仿宋" w:hAnsi="仿宋" w:cs="仿宋"/>
              </w:rPr>
            </w:pPr>
            <w:r>
              <w:rPr>
                <w:rFonts w:ascii="仿宋" w:eastAsia="仿宋" w:hAnsi="仿宋" w:cs="仿宋" w:hint="eastAsia"/>
              </w:rPr>
              <w:t>683.25</w:t>
            </w:r>
          </w:p>
        </w:tc>
        <w:tc>
          <w:tcPr>
            <w:tcW w:w="1739"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03B22" w:rsidRDefault="00F03B22">
            <w:pPr>
              <w:pStyle w:val="TableParagraph"/>
              <w:spacing w:before="30"/>
              <w:ind w:left="107"/>
              <w:jc w:val="right"/>
              <w:rPr>
                <w:rFonts w:ascii="仿宋" w:eastAsia="仿宋" w:hAnsi="仿宋" w:cs="仿宋"/>
              </w:rPr>
            </w:pPr>
          </w:p>
        </w:tc>
      </w:tr>
    </w:tbl>
    <w:p w:rsidR="00F03B22" w:rsidRDefault="00F74FDD">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F03B22" w:rsidRDefault="00F03B22">
      <w:pPr>
        <w:spacing w:before="59"/>
        <w:ind w:left="57"/>
        <w:rPr>
          <w:rFonts w:ascii="仿宋" w:eastAsia="仿宋" w:hAnsi="仿宋" w:cs="仿宋"/>
        </w:rPr>
        <w:sectPr w:rsidR="00F03B22">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F03B22">
        <w:trPr>
          <w:trHeight w:val="319"/>
        </w:trPr>
        <w:tc>
          <w:tcPr>
            <w:tcW w:w="15372" w:type="dxa"/>
            <w:gridSpan w:val="10"/>
          </w:tcPr>
          <w:p w:rsidR="00F03B22" w:rsidRDefault="00F74FD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F03B22">
        <w:trPr>
          <w:trHeight w:val="319"/>
        </w:trPr>
        <w:tc>
          <w:tcPr>
            <w:tcW w:w="5562" w:type="dxa"/>
            <w:gridSpan w:val="2"/>
          </w:tcPr>
          <w:p w:rsidR="00F03B22" w:rsidRDefault="00F03B22">
            <w:pPr>
              <w:pStyle w:val="TableParagraph"/>
              <w:rPr>
                <w:rFonts w:ascii="仿宋" w:eastAsia="仿宋" w:hAnsi="仿宋" w:cs="仿宋"/>
                <w:sz w:val="20"/>
              </w:rPr>
            </w:pPr>
          </w:p>
        </w:tc>
        <w:tc>
          <w:tcPr>
            <w:tcW w:w="847" w:type="dxa"/>
          </w:tcPr>
          <w:p w:rsidR="00F03B22" w:rsidRDefault="00F03B22">
            <w:pPr>
              <w:pStyle w:val="TableParagraph"/>
              <w:rPr>
                <w:rFonts w:ascii="仿宋" w:eastAsia="仿宋" w:hAnsi="仿宋" w:cs="仿宋"/>
                <w:sz w:val="20"/>
              </w:rPr>
            </w:pPr>
          </w:p>
        </w:tc>
        <w:tc>
          <w:tcPr>
            <w:tcW w:w="1913" w:type="dxa"/>
          </w:tcPr>
          <w:p w:rsidR="00F03B22" w:rsidRDefault="00F03B22">
            <w:pPr>
              <w:pStyle w:val="TableParagraph"/>
              <w:rPr>
                <w:rFonts w:ascii="仿宋" w:eastAsia="仿宋" w:hAnsi="仿宋" w:cs="仿宋"/>
                <w:sz w:val="20"/>
              </w:rPr>
            </w:pPr>
          </w:p>
        </w:tc>
        <w:tc>
          <w:tcPr>
            <w:tcW w:w="2635" w:type="dxa"/>
            <w:gridSpan w:val="2"/>
          </w:tcPr>
          <w:p w:rsidR="00F03B22" w:rsidRDefault="00F03B22">
            <w:pPr>
              <w:pStyle w:val="TableParagraph"/>
              <w:rPr>
                <w:rFonts w:ascii="仿宋" w:eastAsia="仿宋" w:hAnsi="仿宋" w:cs="仿宋"/>
                <w:sz w:val="20"/>
              </w:rPr>
            </w:pPr>
          </w:p>
        </w:tc>
        <w:tc>
          <w:tcPr>
            <w:tcW w:w="1194" w:type="dxa"/>
          </w:tcPr>
          <w:p w:rsidR="00F03B22" w:rsidRDefault="00F03B22">
            <w:pPr>
              <w:pStyle w:val="TableParagraph"/>
              <w:rPr>
                <w:rFonts w:ascii="仿宋" w:eastAsia="仿宋" w:hAnsi="仿宋" w:cs="仿宋"/>
                <w:sz w:val="20"/>
              </w:rPr>
            </w:pPr>
          </w:p>
        </w:tc>
        <w:tc>
          <w:tcPr>
            <w:tcW w:w="3221" w:type="dxa"/>
            <w:gridSpan w:val="3"/>
            <w:vAlign w:val="center"/>
          </w:tcPr>
          <w:p w:rsidR="00F03B22" w:rsidRDefault="00F74FDD">
            <w:pPr>
              <w:pStyle w:val="TableParagraph"/>
              <w:jc w:val="right"/>
              <w:rPr>
                <w:rFonts w:ascii="仿宋" w:eastAsia="仿宋" w:hAnsi="仿宋" w:cs="仿宋"/>
              </w:rPr>
            </w:pPr>
            <w:r>
              <w:rPr>
                <w:rFonts w:ascii="仿宋" w:eastAsia="仿宋" w:hAnsi="仿宋" w:cs="仿宋" w:hint="eastAsia"/>
              </w:rPr>
              <w:t>公开04表</w:t>
            </w:r>
          </w:p>
        </w:tc>
      </w:tr>
      <w:tr w:rsidR="00F03B22">
        <w:trPr>
          <w:trHeight w:val="319"/>
        </w:trPr>
        <w:tc>
          <w:tcPr>
            <w:tcW w:w="12151" w:type="dxa"/>
            <w:gridSpan w:val="7"/>
          </w:tcPr>
          <w:p w:rsidR="00F03B22" w:rsidRDefault="00F74FD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南京市医疗保险管理中心</w:t>
            </w:r>
          </w:p>
        </w:tc>
        <w:tc>
          <w:tcPr>
            <w:tcW w:w="3221" w:type="dxa"/>
            <w:gridSpan w:val="3"/>
            <w:vAlign w:val="center"/>
          </w:tcPr>
          <w:p w:rsidR="00F03B22" w:rsidRDefault="00F74FDD">
            <w:pPr>
              <w:pStyle w:val="TableParagraph"/>
              <w:jc w:val="right"/>
              <w:rPr>
                <w:rFonts w:ascii="仿宋" w:eastAsia="仿宋" w:hAnsi="仿宋" w:cs="仿宋"/>
              </w:rPr>
            </w:pPr>
            <w:r>
              <w:rPr>
                <w:rFonts w:ascii="仿宋" w:eastAsia="仿宋" w:hAnsi="仿宋" w:cs="仿宋" w:hint="eastAsia"/>
              </w:rPr>
              <w:t>金额单位：万元</w:t>
            </w:r>
          </w:p>
        </w:tc>
      </w:tr>
      <w:tr w:rsidR="00F03B22">
        <w:trPr>
          <w:trHeight w:val="162"/>
        </w:trPr>
        <w:tc>
          <w:tcPr>
            <w:tcW w:w="5562" w:type="dxa"/>
            <w:gridSpan w:val="2"/>
            <w:tcBorders>
              <w:top w:val="single" w:sz="4" w:space="0" w:color="000000"/>
              <w:left w:val="single" w:sz="4" w:space="0" w:color="000000"/>
              <w:bottom w:val="single" w:sz="4" w:space="0" w:color="000000"/>
            </w:tcBorders>
          </w:tcPr>
          <w:p w:rsidR="00F03B22" w:rsidRDefault="00F74FDD">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F03B22" w:rsidRDefault="00F74FDD">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F03B22">
        <w:trPr>
          <w:trHeight w:val="199"/>
        </w:trPr>
        <w:tc>
          <w:tcPr>
            <w:tcW w:w="3725" w:type="dxa"/>
            <w:vMerge w:val="restart"/>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F03B22" w:rsidRDefault="00F74FDD">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F03B22" w:rsidRDefault="00F74FDD">
            <w:pPr>
              <w:jc w:val="center"/>
              <w:rPr>
                <w:rFonts w:ascii="仿宋" w:eastAsia="仿宋" w:hAnsi="仿宋" w:cs="仿宋"/>
              </w:rPr>
            </w:pPr>
            <w:r>
              <w:rPr>
                <w:rFonts w:ascii="仿宋" w:eastAsia="仿宋" w:hAnsi="仿宋" w:cs="仿宋" w:hint="eastAsia"/>
              </w:rPr>
              <w:t>决算数</w:t>
            </w:r>
          </w:p>
        </w:tc>
      </w:tr>
      <w:tr w:rsidR="00F03B22">
        <w:trPr>
          <w:trHeight w:val="578"/>
        </w:trPr>
        <w:tc>
          <w:tcPr>
            <w:tcW w:w="3725" w:type="dxa"/>
            <w:vMerge/>
            <w:tcBorders>
              <w:left w:val="single" w:sz="4" w:space="0" w:color="000000"/>
              <w:bottom w:val="single" w:sz="4" w:space="0" w:color="000000"/>
            </w:tcBorders>
          </w:tcPr>
          <w:p w:rsidR="00F03B22" w:rsidRDefault="00F03B22">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F03B22" w:rsidRDefault="00F03B22">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F03B22" w:rsidRDefault="00F03B2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国有资本经营预算财政拨款</w:t>
            </w: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5,033.46</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904.79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904.79</w:t>
            </w: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3,118.09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3,118.09</w:t>
            </w: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985.32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985.32</w:t>
            </w: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hRule="exact" w:val="359"/>
        </w:trPr>
        <w:tc>
          <w:tcPr>
            <w:tcW w:w="3725" w:type="dxa"/>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5,033.46</w:t>
            </w:r>
          </w:p>
        </w:tc>
        <w:tc>
          <w:tcPr>
            <w:tcW w:w="3667" w:type="dxa"/>
            <w:gridSpan w:val="3"/>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5,008.20</w:t>
            </w:r>
          </w:p>
        </w:tc>
        <w:tc>
          <w:tcPr>
            <w:tcW w:w="1415" w:type="dxa"/>
            <w:gridSpan w:val="2"/>
            <w:tcBorders>
              <w:top w:val="single" w:sz="4" w:space="0" w:color="000000"/>
              <w:left w:val="single" w:sz="4" w:space="0" w:color="000000"/>
              <w:bottom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5,008.20</w:t>
            </w:r>
          </w:p>
        </w:tc>
        <w:tc>
          <w:tcPr>
            <w:tcW w:w="1500" w:type="dxa"/>
            <w:tcBorders>
              <w:top w:val="single" w:sz="4" w:space="0" w:color="000000"/>
              <w:left w:val="single" w:sz="4" w:space="0" w:color="000000"/>
              <w:bottom w:val="single" w:sz="4" w:space="0" w:color="000000"/>
            </w:tcBorders>
            <w:vAlign w:val="center"/>
          </w:tcPr>
          <w:p w:rsidR="00F03B22" w:rsidRDefault="00F03B22">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trHeight w:val="242"/>
        </w:trPr>
        <w:tc>
          <w:tcPr>
            <w:tcW w:w="3725" w:type="dxa"/>
            <w:tcBorders>
              <w:left w:val="single" w:sz="4" w:space="0" w:color="000000"/>
              <w:bottom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25.27</w:t>
            </w:r>
          </w:p>
        </w:tc>
        <w:tc>
          <w:tcPr>
            <w:tcW w:w="1415" w:type="dxa"/>
            <w:gridSpan w:val="2"/>
            <w:tcBorders>
              <w:left w:val="single" w:sz="4" w:space="0" w:color="000000"/>
              <w:bottom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25.27</w:t>
            </w:r>
          </w:p>
        </w:tc>
        <w:tc>
          <w:tcPr>
            <w:tcW w:w="1500" w:type="dxa"/>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42"/>
        </w:trPr>
        <w:tc>
          <w:tcPr>
            <w:tcW w:w="3725" w:type="dxa"/>
            <w:tcBorders>
              <w:left w:val="single" w:sz="4" w:space="0" w:color="000000"/>
              <w:bottom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F03B22" w:rsidRDefault="00F03B2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42"/>
        </w:trPr>
        <w:tc>
          <w:tcPr>
            <w:tcW w:w="3725" w:type="dxa"/>
            <w:tcBorders>
              <w:left w:val="single" w:sz="4" w:space="0" w:color="000000"/>
              <w:bottom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F03B22" w:rsidRDefault="00F03B2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trHeight w:val="242"/>
        </w:trPr>
        <w:tc>
          <w:tcPr>
            <w:tcW w:w="3725" w:type="dxa"/>
            <w:tcBorders>
              <w:left w:val="single" w:sz="4" w:space="0" w:color="000000"/>
              <w:bottom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F03B22" w:rsidRDefault="00F03B2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hRule="exact" w:val="322"/>
        </w:trPr>
        <w:tc>
          <w:tcPr>
            <w:tcW w:w="3725"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5,033.46</w:t>
            </w:r>
          </w:p>
        </w:tc>
        <w:tc>
          <w:tcPr>
            <w:tcW w:w="3667" w:type="dxa"/>
            <w:gridSpan w:val="3"/>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5,033.46</w:t>
            </w:r>
          </w:p>
        </w:tc>
        <w:tc>
          <w:tcPr>
            <w:tcW w:w="1415" w:type="dxa"/>
            <w:gridSpan w:val="2"/>
            <w:tcBorders>
              <w:left w:val="single" w:sz="4" w:space="0" w:color="000000"/>
              <w:bottom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5,033.46</w:t>
            </w:r>
          </w:p>
        </w:tc>
        <w:tc>
          <w:tcPr>
            <w:tcW w:w="1500" w:type="dxa"/>
            <w:tcBorders>
              <w:left w:val="single" w:sz="4" w:space="0" w:color="000000"/>
              <w:bottom w:val="single" w:sz="4" w:space="0" w:color="000000"/>
            </w:tcBorders>
            <w:vAlign w:val="center"/>
          </w:tcPr>
          <w:p w:rsidR="00F03B22" w:rsidRDefault="00F03B22">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bl>
    <w:p w:rsidR="00F03B22" w:rsidRDefault="00F74FDD">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F03B22" w:rsidRDefault="00F03B22">
      <w:pPr>
        <w:jc w:val="both"/>
        <w:rPr>
          <w:rFonts w:ascii="仿宋" w:eastAsia="仿宋" w:hAnsi="仿宋" w:cs="仿宋"/>
        </w:rPr>
        <w:sectPr w:rsidR="00F03B22">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F03B22">
        <w:trPr>
          <w:trHeight w:val="321"/>
        </w:trPr>
        <w:tc>
          <w:tcPr>
            <w:tcW w:w="15417" w:type="dxa"/>
            <w:gridSpan w:val="5"/>
            <w:vAlign w:val="center"/>
          </w:tcPr>
          <w:p w:rsidR="00F03B22" w:rsidRDefault="00F74FD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F03B22">
        <w:trPr>
          <w:trHeight w:val="321"/>
        </w:trPr>
        <w:tc>
          <w:tcPr>
            <w:tcW w:w="6300" w:type="dxa"/>
            <w:gridSpan w:val="2"/>
          </w:tcPr>
          <w:p w:rsidR="00F03B22" w:rsidRDefault="00F03B22">
            <w:pPr>
              <w:pStyle w:val="TableParagraph"/>
              <w:rPr>
                <w:rFonts w:ascii="仿宋" w:eastAsia="仿宋" w:hAnsi="仿宋" w:cs="仿宋"/>
                <w:sz w:val="20"/>
              </w:rPr>
            </w:pPr>
          </w:p>
        </w:tc>
        <w:tc>
          <w:tcPr>
            <w:tcW w:w="3184" w:type="dxa"/>
          </w:tcPr>
          <w:p w:rsidR="00F03B22" w:rsidRDefault="00F03B22">
            <w:pPr>
              <w:pStyle w:val="TableParagraph"/>
              <w:rPr>
                <w:rFonts w:ascii="仿宋" w:eastAsia="仿宋" w:hAnsi="仿宋" w:cs="仿宋"/>
                <w:sz w:val="27"/>
              </w:rPr>
            </w:pPr>
          </w:p>
        </w:tc>
        <w:tc>
          <w:tcPr>
            <w:tcW w:w="5933" w:type="dxa"/>
            <w:gridSpan w:val="2"/>
            <w:vAlign w:val="center"/>
          </w:tcPr>
          <w:p w:rsidR="00F03B22" w:rsidRDefault="00F74FDD">
            <w:pPr>
              <w:pStyle w:val="TableParagraph"/>
              <w:jc w:val="right"/>
              <w:rPr>
                <w:rFonts w:ascii="仿宋" w:eastAsia="仿宋" w:hAnsi="仿宋" w:cs="仿宋"/>
                <w:sz w:val="27"/>
              </w:rPr>
            </w:pPr>
            <w:r>
              <w:rPr>
                <w:rFonts w:ascii="仿宋" w:eastAsia="仿宋" w:hAnsi="仿宋" w:cs="仿宋" w:hint="eastAsia"/>
              </w:rPr>
              <w:t>公开05表</w:t>
            </w:r>
          </w:p>
        </w:tc>
      </w:tr>
      <w:tr w:rsidR="00F03B22">
        <w:trPr>
          <w:trHeight w:val="288"/>
        </w:trPr>
        <w:tc>
          <w:tcPr>
            <w:tcW w:w="6300" w:type="dxa"/>
            <w:gridSpan w:val="2"/>
          </w:tcPr>
          <w:p w:rsidR="00F03B22" w:rsidRDefault="00F74FD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南京市医疗保险管理中心</w:t>
            </w:r>
          </w:p>
        </w:tc>
        <w:tc>
          <w:tcPr>
            <w:tcW w:w="3184" w:type="dxa"/>
          </w:tcPr>
          <w:p w:rsidR="00F03B22" w:rsidRDefault="00F03B22">
            <w:pPr>
              <w:pStyle w:val="TableParagraph"/>
              <w:rPr>
                <w:rFonts w:ascii="仿宋" w:eastAsia="仿宋" w:hAnsi="仿宋" w:cs="仿宋"/>
                <w:sz w:val="27"/>
              </w:rPr>
            </w:pPr>
          </w:p>
        </w:tc>
        <w:tc>
          <w:tcPr>
            <w:tcW w:w="2778" w:type="dxa"/>
            <w:vAlign w:val="center"/>
          </w:tcPr>
          <w:p w:rsidR="00F03B22" w:rsidRDefault="00F03B22">
            <w:pPr>
              <w:pStyle w:val="TableParagraph"/>
              <w:jc w:val="right"/>
              <w:rPr>
                <w:rFonts w:ascii="仿宋" w:eastAsia="仿宋" w:hAnsi="仿宋" w:cs="仿宋"/>
                <w:sz w:val="27"/>
              </w:rPr>
            </w:pPr>
          </w:p>
        </w:tc>
        <w:tc>
          <w:tcPr>
            <w:tcW w:w="3155" w:type="dxa"/>
            <w:vAlign w:val="center"/>
          </w:tcPr>
          <w:p w:rsidR="00F03B22" w:rsidRDefault="00F74FDD">
            <w:pPr>
              <w:pStyle w:val="TableParagraph"/>
              <w:jc w:val="right"/>
              <w:rPr>
                <w:rFonts w:ascii="仿宋" w:eastAsia="仿宋" w:hAnsi="仿宋" w:cs="仿宋"/>
                <w:sz w:val="27"/>
              </w:rPr>
            </w:pPr>
            <w:r>
              <w:rPr>
                <w:rFonts w:ascii="仿宋" w:eastAsia="仿宋" w:hAnsi="仿宋" w:cs="仿宋" w:hint="eastAsia"/>
              </w:rPr>
              <w:t>金额单位：万元</w:t>
            </w:r>
          </w:p>
        </w:tc>
      </w:tr>
      <w:tr w:rsidR="00F03B22">
        <w:trPr>
          <w:trHeight w:val="319"/>
        </w:trPr>
        <w:tc>
          <w:tcPr>
            <w:tcW w:w="6300" w:type="dxa"/>
            <w:gridSpan w:val="2"/>
            <w:tcBorders>
              <w:top w:val="single" w:sz="6" w:space="0" w:color="000000"/>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项目支出</w:t>
            </w:r>
          </w:p>
        </w:tc>
      </w:tr>
      <w:tr w:rsidR="00F03B22">
        <w:trPr>
          <w:trHeight w:val="341"/>
        </w:trPr>
        <w:tc>
          <w:tcPr>
            <w:tcW w:w="1278" w:type="dxa"/>
            <w:tcBorders>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功能分类</w:t>
            </w:r>
          </w:p>
          <w:p w:rsidR="00F03B22" w:rsidRDefault="00F74FDD">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F03B22" w:rsidRDefault="00F03B22">
            <w:pPr>
              <w:rPr>
                <w:rFonts w:ascii="仿宋" w:eastAsia="仿宋" w:hAnsi="仿宋" w:cs="仿宋"/>
              </w:rPr>
            </w:pPr>
          </w:p>
        </w:tc>
        <w:tc>
          <w:tcPr>
            <w:tcW w:w="2778" w:type="dxa"/>
            <w:vMerge/>
            <w:tcBorders>
              <w:left w:val="single" w:sz="6" w:space="0" w:color="000000"/>
              <w:bottom w:val="single" w:sz="6" w:space="0" w:color="000000"/>
            </w:tcBorders>
          </w:tcPr>
          <w:p w:rsidR="00F03B22" w:rsidRDefault="00F03B22">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F03B22" w:rsidRDefault="00F03B22">
            <w:pPr>
              <w:rPr>
                <w:rFonts w:ascii="仿宋" w:eastAsia="仿宋" w:hAnsi="仿宋" w:cs="仿宋"/>
              </w:rPr>
            </w:pPr>
          </w:p>
        </w:tc>
      </w:tr>
      <w:tr w:rsidR="00F03B22">
        <w:trPr>
          <w:trHeight w:val="275"/>
        </w:trPr>
        <w:tc>
          <w:tcPr>
            <w:tcW w:w="6300" w:type="dxa"/>
            <w:gridSpan w:val="2"/>
            <w:tcBorders>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3</w:t>
            </w:r>
          </w:p>
        </w:tc>
      </w:tr>
      <w:tr w:rsidR="00F03B22">
        <w:trPr>
          <w:trHeight w:hRule="exact" w:val="374"/>
        </w:trPr>
        <w:tc>
          <w:tcPr>
            <w:tcW w:w="6300" w:type="dxa"/>
            <w:gridSpan w:val="2"/>
            <w:tcBorders>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F03B22" w:rsidRDefault="00F74FDD">
            <w:pPr>
              <w:pStyle w:val="TableParagraph"/>
              <w:jc w:val="right"/>
              <w:rPr>
                <w:rFonts w:ascii="仿宋" w:eastAsia="仿宋" w:hAnsi="仿宋" w:cs="仿宋"/>
              </w:rPr>
            </w:pPr>
            <w:r>
              <w:rPr>
                <w:rFonts w:ascii="仿宋" w:eastAsia="仿宋" w:hAnsi="仿宋" w:cs="仿宋" w:hint="eastAsia"/>
              </w:rPr>
              <w:t>5,008.20</w:t>
            </w:r>
          </w:p>
        </w:tc>
        <w:tc>
          <w:tcPr>
            <w:tcW w:w="2778" w:type="dxa"/>
            <w:tcBorders>
              <w:left w:val="single" w:sz="6" w:space="0" w:color="000000"/>
              <w:bottom w:val="single" w:sz="6" w:space="0" w:color="000000"/>
            </w:tcBorders>
          </w:tcPr>
          <w:p w:rsidR="00F03B22" w:rsidRDefault="00F74FDD">
            <w:pPr>
              <w:pStyle w:val="TableParagraph"/>
              <w:jc w:val="right"/>
              <w:rPr>
                <w:rFonts w:ascii="仿宋" w:eastAsia="仿宋" w:hAnsi="仿宋" w:cs="仿宋"/>
              </w:rPr>
            </w:pPr>
            <w:r>
              <w:rPr>
                <w:rFonts w:ascii="仿宋" w:eastAsia="仿宋" w:hAnsi="仿宋" w:cs="仿宋" w:hint="eastAsia"/>
              </w:rPr>
              <w:t>4,111.10</w:t>
            </w:r>
          </w:p>
        </w:tc>
        <w:tc>
          <w:tcPr>
            <w:tcW w:w="3155" w:type="dxa"/>
            <w:tcBorders>
              <w:left w:val="single" w:sz="6" w:space="0" w:color="000000"/>
              <w:bottom w:val="single" w:sz="6" w:space="0" w:color="000000"/>
              <w:right w:val="single" w:sz="6" w:space="0" w:color="000000"/>
            </w:tcBorders>
          </w:tcPr>
          <w:p w:rsidR="00F03B22" w:rsidRDefault="00F74FDD">
            <w:pPr>
              <w:pStyle w:val="TableParagraph"/>
              <w:jc w:val="right"/>
              <w:rPr>
                <w:rFonts w:ascii="仿宋" w:eastAsia="仿宋" w:hAnsi="仿宋" w:cs="仿宋"/>
              </w:rPr>
            </w:pPr>
            <w:r>
              <w:rPr>
                <w:rFonts w:ascii="仿宋" w:eastAsia="仿宋" w:hAnsi="仿宋" w:cs="仿宋" w:hint="eastAsia"/>
              </w:rPr>
              <w:t>897.10</w:t>
            </w: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904.79</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347.84</w:t>
            </w: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556.95</w:t>
            </w: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347.84</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347.84</w:t>
            </w: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9.73</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9.73</w:t>
            </w: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225.41</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225.41</w:t>
            </w: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112.70</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112.70</w:t>
            </w: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20810</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社会福利</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380.00</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380.00</w:t>
            </w: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2081099</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其他社会福利支出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380.00</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380.00</w:t>
            </w: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176.95</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176.95</w:t>
            </w: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176.95</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176.95</w:t>
            </w: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3,118.09</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2,777.94</w:t>
            </w: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340.15</w:t>
            </w: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21001</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卫生健康管理事务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123.50</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123.50</w:t>
            </w: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2100101</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123.50</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123.50</w:t>
            </w: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21014</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优抚对象医疗</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130.50</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130.50</w:t>
            </w: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2101401</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优抚对象医疗补助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130.50</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130.50</w:t>
            </w: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21015</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医疗保障管理事务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2,864.09</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2,654.44</w:t>
            </w: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209.65</w:t>
            </w: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2101502</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3.56</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3.56</w:t>
            </w: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2101506</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医疗保障经办事务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2,767.20</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2,653.05</w:t>
            </w: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114.15</w:t>
            </w: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lastRenderedPageBreak/>
              <w:t>2101550</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1.39</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1.39</w:t>
            </w: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2101599</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其他医疗保障管理事务支出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91.94</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91.94</w:t>
            </w: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985.32</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985.32</w:t>
            </w: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985.32</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985.32</w:t>
            </w: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302.07</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302.07</w:t>
            </w: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683.25</w:t>
            </w:r>
          </w:p>
        </w:tc>
        <w:tc>
          <w:tcPr>
            <w:tcW w:w="2778" w:type="dxa"/>
            <w:tcBorders>
              <w:top w:val="single" w:sz="6" w:space="0" w:color="000000"/>
              <w:left w:val="single" w:sz="4" w:space="0" w:color="000000"/>
              <w:bottom w:val="single" w:sz="6"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683.25</w:t>
            </w:r>
          </w:p>
        </w:tc>
        <w:tc>
          <w:tcPr>
            <w:tcW w:w="3155" w:type="dxa"/>
            <w:tcBorders>
              <w:top w:val="single" w:sz="6" w:space="0" w:color="000000"/>
              <w:left w:val="single" w:sz="4"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bl>
    <w:p w:rsidR="00F03B22" w:rsidRDefault="00F74FDD">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F03B22" w:rsidRDefault="00F03B22">
      <w:pPr>
        <w:tabs>
          <w:tab w:val="left" w:pos="55"/>
        </w:tabs>
        <w:jc w:val="both"/>
        <w:rPr>
          <w:rFonts w:ascii="仿宋" w:eastAsia="仿宋" w:hAnsi="仿宋" w:cs="仿宋"/>
        </w:rPr>
        <w:sectPr w:rsidR="00F03B22">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F03B22">
        <w:trPr>
          <w:trHeight w:val="319"/>
        </w:trPr>
        <w:tc>
          <w:tcPr>
            <w:tcW w:w="10515" w:type="dxa"/>
            <w:gridSpan w:val="5"/>
            <w:vAlign w:val="center"/>
          </w:tcPr>
          <w:p w:rsidR="00F03B22" w:rsidRDefault="00F74FD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F03B22">
        <w:trPr>
          <w:trHeight w:val="319"/>
        </w:trPr>
        <w:tc>
          <w:tcPr>
            <w:tcW w:w="4532" w:type="dxa"/>
            <w:gridSpan w:val="2"/>
          </w:tcPr>
          <w:p w:rsidR="00F03B22" w:rsidRDefault="00F03B22">
            <w:pPr>
              <w:pStyle w:val="TableParagraph"/>
              <w:rPr>
                <w:rFonts w:ascii="仿宋" w:eastAsia="仿宋" w:hAnsi="仿宋" w:cs="仿宋"/>
                <w:sz w:val="20"/>
              </w:rPr>
            </w:pPr>
          </w:p>
        </w:tc>
        <w:tc>
          <w:tcPr>
            <w:tcW w:w="2047" w:type="dxa"/>
          </w:tcPr>
          <w:p w:rsidR="00F03B22" w:rsidRDefault="00F03B22">
            <w:pPr>
              <w:pStyle w:val="TableParagraph"/>
              <w:rPr>
                <w:rFonts w:ascii="仿宋" w:eastAsia="仿宋" w:hAnsi="仿宋" w:cs="仿宋"/>
                <w:sz w:val="20"/>
              </w:rPr>
            </w:pPr>
          </w:p>
        </w:tc>
        <w:tc>
          <w:tcPr>
            <w:tcW w:w="2040" w:type="dxa"/>
          </w:tcPr>
          <w:p w:rsidR="00F03B22" w:rsidRDefault="00F03B22">
            <w:pPr>
              <w:pStyle w:val="TableParagraph"/>
              <w:rPr>
                <w:rFonts w:ascii="仿宋" w:eastAsia="仿宋" w:hAnsi="仿宋" w:cs="仿宋"/>
                <w:sz w:val="20"/>
              </w:rPr>
            </w:pPr>
          </w:p>
        </w:tc>
        <w:tc>
          <w:tcPr>
            <w:tcW w:w="1896" w:type="dxa"/>
            <w:vAlign w:val="center"/>
          </w:tcPr>
          <w:p w:rsidR="00F03B22" w:rsidRDefault="00F74FDD">
            <w:pPr>
              <w:pStyle w:val="TableParagraph"/>
              <w:jc w:val="right"/>
              <w:rPr>
                <w:rFonts w:ascii="仿宋" w:eastAsia="仿宋" w:hAnsi="仿宋" w:cs="仿宋"/>
                <w:sz w:val="20"/>
              </w:rPr>
            </w:pPr>
            <w:r>
              <w:rPr>
                <w:rFonts w:ascii="仿宋" w:eastAsia="仿宋" w:hAnsi="仿宋" w:cs="仿宋" w:hint="eastAsia"/>
              </w:rPr>
              <w:t>公开06表</w:t>
            </w:r>
          </w:p>
        </w:tc>
      </w:tr>
      <w:tr w:rsidR="00F03B22">
        <w:trPr>
          <w:trHeight w:val="319"/>
        </w:trPr>
        <w:tc>
          <w:tcPr>
            <w:tcW w:w="8619" w:type="dxa"/>
            <w:gridSpan w:val="4"/>
          </w:tcPr>
          <w:p w:rsidR="00F03B22" w:rsidRDefault="00F74FD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南京市医疗保险管理中心</w:t>
            </w:r>
          </w:p>
        </w:tc>
        <w:tc>
          <w:tcPr>
            <w:tcW w:w="1896" w:type="dxa"/>
            <w:vAlign w:val="center"/>
          </w:tcPr>
          <w:p w:rsidR="00F03B22" w:rsidRDefault="00F74FDD">
            <w:pPr>
              <w:pStyle w:val="TableParagraph"/>
              <w:jc w:val="right"/>
              <w:rPr>
                <w:rFonts w:ascii="仿宋" w:eastAsia="仿宋" w:hAnsi="仿宋" w:cs="仿宋"/>
                <w:sz w:val="20"/>
              </w:rPr>
            </w:pPr>
            <w:r>
              <w:rPr>
                <w:rFonts w:ascii="仿宋" w:eastAsia="仿宋" w:hAnsi="仿宋" w:cs="仿宋" w:hint="eastAsia"/>
              </w:rPr>
              <w:t>金额单位：万元</w:t>
            </w:r>
          </w:p>
        </w:tc>
      </w:tr>
      <w:tr w:rsidR="00F03B22">
        <w:trPr>
          <w:trHeight w:val="243"/>
        </w:trPr>
        <w:tc>
          <w:tcPr>
            <w:tcW w:w="4532" w:type="dxa"/>
            <w:gridSpan w:val="2"/>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sz w:val="20"/>
              </w:rPr>
            </w:pPr>
            <w:r>
              <w:rPr>
                <w:rFonts w:ascii="仿宋" w:eastAsia="仿宋" w:hAnsi="仿宋" w:cs="仿宋" w:hint="eastAsia"/>
              </w:rPr>
              <w:t>财政拨款基本支出</w:t>
            </w:r>
          </w:p>
        </w:tc>
      </w:tr>
      <w:tr w:rsidR="00F03B22">
        <w:trPr>
          <w:trHeight w:val="483"/>
        </w:trPr>
        <w:tc>
          <w:tcPr>
            <w:tcW w:w="990"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公用经费</w:t>
            </w:r>
          </w:p>
        </w:tc>
      </w:tr>
      <w:tr w:rsidR="00F03B22">
        <w:trPr>
          <w:trHeight w:hRule="exact" w:val="409"/>
        </w:trPr>
        <w:tc>
          <w:tcPr>
            <w:tcW w:w="4532" w:type="dxa"/>
            <w:gridSpan w:val="2"/>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4,111.10</w:t>
            </w:r>
          </w:p>
        </w:tc>
        <w:tc>
          <w:tcPr>
            <w:tcW w:w="2040" w:type="dxa"/>
            <w:tcBorders>
              <w:left w:val="single" w:sz="4" w:space="0" w:color="000000"/>
              <w:bottom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3,368.89</w:t>
            </w:r>
          </w:p>
        </w:tc>
        <w:tc>
          <w:tcPr>
            <w:tcW w:w="1896" w:type="dxa"/>
            <w:tcBorders>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742.20</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3,323.93</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3,323.93</w:t>
            </w: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511.23</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511.23</w:t>
            </w: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1,182.02</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1,182.02</w:t>
            </w: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532.52</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532.52</w:t>
            </w: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225.41</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225.41</w:t>
            </w: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112.70</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112.70</w:t>
            </w: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95.11</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95.11</w:t>
            </w: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13.70</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13.70</w:t>
            </w: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302.07</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302.07</w:t>
            </w: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34.16</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34.16</w:t>
            </w: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315.00</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315.00</w:t>
            </w: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742.20</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742.20</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61.01</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61.01</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1.59</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1.59</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4.00</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4.00</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30.00</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30.00</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5.74</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5.74</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118.92</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118.92</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10.05</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10.05</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7.72</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7.72</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338.38</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338.38</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0.85</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0.85</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1.00</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40.00</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40.00</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35.00</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35.00</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4.18</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4.18</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78.83</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78.83</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4.93</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4.93</w:t>
            </w: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44.97</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44.97</w:t>
            </w: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41.01</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41.01</w:t>
            </w: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3.96</w:t>
            </w: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3.96</w:t>
            </w: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bl>
    <w:p w:rsidR="00F03B22" w:rsidRDefault="00F74FDD">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F03B22" w:rsidRDefault="00F03B22">
      <w:pPr>
        <w:spacing w:line="255" w:lineRule="exact"/>
        <w:jc w:val="both"/>
        <w:rPr>
          <w:rFonts w:ascii="仿宋" w:eastAsia="仿宋" w:hAnsi="仿宋" w:cs="仿宋"/>
        </w:rPr>
        <w:sectPr w:rsidR="00F03B22">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F03B22">
        <w:trPr>
          <w:trHeight w:val="560"/>
        </w:trPr>
        <w:tc>
          <w:tcPr>
            <w:tcW w:w="10446" w:type="dxa"/>
            <w:gridSpan w:val="5"/>
            <w:vAlign w:val="center"/>
          </w:tcPr>
          <w:p w:rsidR="00F03B22" w:rsidRDefault="00F74FD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F03B22">
        <w:trPr>
          <w:trHeight w:val="147"/>
        </w:trPr>
        <w:tc>
          <w:tcPr>
            <w:tcW w:w="5466" w:type="dxa"/>
            <w:gridSpan w:val="2"/>
          </w:tcPr>
          <w:p w:rsidR="00F03B22" w:rsidRDefault="00F03B22">
            <w:pPr>
              <w:pStyle w:val="TableParagraph"/>
              <w:rPr>
                <w:rFonts w:ascii="仿宋" w:eastAsia="仿宋" w:hAnsi="仿宋" w:cs="仿宋"/>
                <w:sz w:val="20"/>
              </w:rPr>
            </w:pPr>
          </w:p>
        </w:tc>
        <w:tc>
          <w:tcPr>
            <w:tcW w:w="1969" w:type="dxa"/>
          </w:tcPr>
          <w:p w:rsidR="00F03B22" w:rsidRDefault="00F03B22">
            <w:pPr>
              <w:pStyle w:val="TableParagraph"/>
              <w:rPr>
                <w:rFonts w:ascii="仿宋" w:eastAsia="仿宋" w:hAnsi="仿宋" w:cs="仿宋"/>
                <w:sz w:val="20"/>
              </w:rPr>
            </w:pPr>
          </w:p>
        </w:tc>
        <w:tc>
          <w:tcPr>
            <w:tcW w:w="1499" w:type="dxa"/>
          </w:tcPr>
          <w:p w:rsidR="00F03B22" w:rsidRDefault="00F03B22">
            <w:pPr>
              <w:pStyle w:val="TableParagraph"/>
              <w:rPr>
                <w:rFonts w:ascii="仿宋" w:eastAsia="仿宋" w:hAnsi="仿宋" w:cs="仿宋"/>
                <w:sz w:val="20"/>
              </w:rPr>
            </w:pPr>
          </w:p>
        </w:tc>
        <w:tc>
          <w:tcPr>
            <w:tcW w:w="1512" w:type="dxa"/>
            <w:vAlign w:val="center"/>
          </w:tcPr>
          <w:p w:rsidR="00F03B22" w:rsidRDefault="00F74FDD">
            <w:pPr>
              <w:pStyle w:val="TableParagraph"/>
              <w:jc w:val="right"/>
              <w:rPr>
                <w:rFonts w:ascii="仿宋" w:eastAsia="仿宋" w:hAnsi="仿宋" w:cs="仿宋"/>
                <w:sz w:val="20"/>
              </w:rPr>
            </w:pPr>
            <w:r>
              <w:rPr>
                <w:rFonts w:ascii="仿宋" w:eastAsia="仿宋" w:hAnsi="仿宋" w:cs="仿宋" w:hint="eastAsia"/>
              </w:rPr>
              <w:t>公开07表</w:t>
            </w:r>
          </w:p>
        </w:tc>
      </w:tr>
      <w:tr w:rsidR="00F03B22">
        <w:trPr>
          <w:trHeight w:val="303"/>
        </w:trPr>
        <w:tc>
          <w:tcPr>
            <w:tcW w:w="7435" w:type="dxa"/>
            <w:gridSpan w:val="3"/>
          </w:tcPr>
          <w:p w:rsidR="00F03B22" w:rsidRDefault="00F74FD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南京市医疗保险管理中心</w:t>
            </w:r>
          </w:p>
        </w:tc>
        <w:tc>
          <w:tcPr>
            <w:tcW w:w="3011" w:type="dxa"/>
            <w:gridSpan w:val="2"/>
          </w:tcPr>
          <w:p w:rsidR="00F03B22" w:rsidRDefault="00F74FDD">
            <w:pPr>
              <w:pStyle w:val="TableParagraph"/>
              <w:jc w:val="right"/>
              <w:rPr>
                <w:rFonts w:ascii="仿宋" w:eastAsia="仿宋" w:hAnsi="仿宋" w:cs="仿宋"/>
              </w:rPr>
            </w:pPr>
            <w:r>
              <w:rPr>
                <w:rFonts w:ascii="仿宋" w:eastAsia="仿宋" w:hAnsi="仿宋" w:cs="仿宋" w:hint="eastAsia"/>
              </w:rPr>
              <w:t>金额单位：万元</w:t>
            </w:r>
          </w:p>
        </w:tc>
      </w:tr>
      <w:tr w:rsidR="00F03B22">
        <w:trPr>
          <w:trHeight w:val="158"/>
        </w:trPr>
        <w:tc>
          <w:tcPr>
            <w:tcW w:w="5466" w:type="dxa"/>
            <w:gridSpan w:val="2"/>
            <w:tcBorders>
              <w:top w:val="single" w:sz="6" w:space="0" w:color="000000"/>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项目支出</w:t>
            </w:r>
          </w:p>
        </w:tc>
      </w:tr>
      <w:tr w:rsidR="00F03B22">
        <w:trPr>
          <w:trHeight w:val="561"/>
        </w:trPr>
        <w:tc>
          <w:tcPr>
            <w:tcW w:w="1134" w:type="dxa"/>
            <w:tcBorders>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F03B22" w:rsidRDefault="00F03B22">
            <w:pPr>
              <w:rPr>
                <w:rFonts w:ascii="仿宋" w:eastAsia="仿宋" w:hAnsi="仿宋" w:cs="仿宋"/>
                <w:sz w:val="2"/>
                <w:szCs w:val="2"/>
              </w:rPr>
            </w:pPr>
          </w:p>
        </w:tc>
        <w:tc>
          <w:tcPr>
            <w:tcW w:w="1499" w:type="dxa"/>
            <w:vMerge/>
            <w:tcBorders>
              <w:left w:val="single" w:sz="6" w:space="0" w:color="000000"/>
              <w:bottom w:val="single" w:sz="6" w:space="0" w:color="000000"/>
            </w:tcBorders>
          </w:tcPr>
          <w:p w:rsidR="00F03B22" w:rsidRDefault="00F03B22">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F03B22" w:rsidRDefault="00F03B22">
            <w:pPr>
              <w:rPr>
                <w:rFonts w:ascii="仿宋" w:eastAsia="仿宋" w:hAnsi="仿宋" w:cs="仿宋"/>
                <w:sz w:val="2"/>
                <w:szCs w:val="2"/>
              </w:rPr>
            </w:pPr>
          </w:p>
        </w:tc>
      </w:tr>
      <w:tr w:rsidR="00F03B22">
        <w:trPr>
          <w:trHeight w:val="152"/>
        </w:trPr>
        <w:tc>
          <w:tcPr>
            <w:tcW w:w="5466" w:type="dxa"/>
            <w:gridSpan w:val="2"/>
            <w:tcBorders>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3</w:t>
            </w:r>
          </w:p>
        </w:tc>
      </w:tr>
      <w:tr w:rsidR="00F03B22">
        <w:trPr>
          <w:trHeight w:hRule="exact" w:val="298"/>
        </w:trPr>
        <w:tc>
          <w:tcPr>
            <w:tcW w:w="5466" w:type="dxa"/>
            <w:gridSpan w:val="2"/>
            <w:tcBorders>
              <w:left w:val="single" w:sz="6" w:space="0" w:color="000000"/>
              <w:bottom w:val="single" w:sz="6" w:space="0" w:color="000000"/>
            </w:tcBorders>
            <w:vAlign w:val="center"/>
          </w:tcPr>
          <w:p w:rsidR="00F03B22" w:rsidRDefault="00F74FDD">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5,008.20</w:t>
            </w:r>
          </w:p>
        </w:tc>
        <w:tc>
          <w:tcPr>
            <w:tcW w:w="1499" w:type="dxa"/>
            <w:tcBorders>
              <w:left w:val="single" w:sz="6" w:space="0" w:color="000000"/>
              <w:bottom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4,111.10</w:t>
            </w:r>
          </w:p>
        </w:tc>
        <w:tc>
          <w:tcPr>
            <w:tcW w:w="1512" w:type="dxa"/>
            <w:tcBorders>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897.10</w:t>
            </w: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904.79</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347.84</w:t>
            </w: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556.95</w:t>
            </w: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347.84</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347.84</w:t>
            </w: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9.73</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9.73</w:t>
            </w: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225.41</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225.41</w:t>
            </w: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112.70</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112.70</w:t>
            </w: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20810</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社会福利</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380.00</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380.00</w:t>
            </w: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2081099</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其他社会福利支出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380.00</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380.00</w:t>
            </w: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176.95</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176.95</w:t>
            </w: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2089999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176.95</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176.95</w:t>
            </w: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3,118.09</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2,777.94</w:t>
            </w: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340.15</w:t>
            </w: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21001</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卫生健康管理事务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123.50</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123.50</w:t>
            </w: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2100101</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123.50</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123.50</w:t>
            </w: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21014</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优抚对象医疗</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130.50</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130.50</w:t>
            </w: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2101401</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优抚对象医疗补助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130.50</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130.50</w:t>
            </w: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21015</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医疗保障管理事务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2,864.09</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2,654.44</w:t>
            </w: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209.65</w:t>
            </w: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2101502</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3.56</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3.56</w:t>
            </w: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2101506</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医疗保障经办事务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2,767.20</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2,653.05</w:t>
            </w: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114.15</w:t>
            </w: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2101550</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1.39</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1.39</w:t>
            </w: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2101599</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其他医疗保障管理事务支出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91.94</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91.94</w:t>
            </w: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985.32</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985.32</w:t>
            </w: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985.32</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985.32</w:t>
            </w: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302.07</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302.07</w:t>
            </w: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683.25</w:t>
            </w:r>
          </w:p>
        </w:tc>
        <w:tc>
          <w:tcPr>
            <w:tcW w:w="1499" w:type="dxa"/>
            <w:tcBorders>
              <w:top w:val="single" w:sz="6" w:space="0" w:color="000000"/>
              <w:left w:val="single" w:sz="6" w:space="0" w:color="000000"/>
              <w:bottom w:val="single" w:sz="6" w:space="0" w:color="000000"/>
              <w:right w:val="single" w:sz="6"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683.25</w:t>
            </w:r>
          </w:p>
        </w:tc>
        <w:tc>
          <w:tcPr>
            <w:tcW w:w="1512" w:type="dxa"/>
            <w:tcBorders>
              <w:top w:val="single" w:sz="6" w:space="0" w:color="000000"/>
              <w:left w:val="single" w:sz="6" w:space="0" w:color="000000"/>
              <w:bottom w:val="single" w:sz="6" w:space="0" w:color="000000"/>
              <w:right w:val="single" w:sz="6" w:space="0" w:color="000000"/>
            </w:tcBorders>
            <w:vAlign w:val="center"/>
          </w:tcPr>
          <w:p w:rsidR="00F03B22" w:rsidRDefault="00F03B22">
            <w:pPr>
              <w:pStyle w:val="TableParagraph"/>
              <w:jc w:val="right"/>
              <w:rPr>
                <w:rFonts w:ascii="仿宋" w:eastAsia="仿宋" w:hAnsi="仿宋" w:cs="仿宋"/>
              </w:rPr>
            </w:pPr>
          </w:p>
        </w:tc>
      </w:tr>
    </w:tbl>
    <w:p w:rsidR="00F03B22" w:rsidRDefault="00F74FDD">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F03B22" w:rsidRDefault="00F03B22">
      <w:pPr>
        <w:spacing w:before="25"/>
        <w:jc w:val="both"/>
        <w:rPr>
          <w:rFonts w:ascii="仿宋" w:eastAsia="仿宋" w:hAnsi="仿宋" w:cs="仿宋"/>
        </w:rPr>
        <w:sectPr w:rsidR="00F03B22">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F03B22">
        <w:trPr>
          <w:trHeight w:val="319"/>
        </w:trPr>
        <w:tc>
          <w:tcPr>
            <w:tcW w:w="10473" w:type="dxa"/>
            <w:gridSpan w:val="5"/>
          </w:tcPr>
          <w:p w:rsidR="00F03B22" w:rsidRDefault="00F74FD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F03B22">
        <w:trPr>
          <w:trHeight w:val="199"/>
        </w:trPr>
        <w:tc>
          <w:tcPr>
            <w:tcW w:w="8595" w:type="dxa"/>
            <w:gridSpan w:val="4"/>
            <w:vAlign w:val="center"/>
          </w:tcPr>
          <w:p w:rsidR="00F03B22" w:rsidRDefault="00F03B22">
            <w:pPr>
              <w:pStyle w:val="TableParagraph"/>
              <w:jc w:val="right"/>
              <w:rPr>
                <w:rFonts w:ascii="仿宋" w:eastAsia="仿宋" w:hAnsi="仿宋" w:cs="仿宋"/>
                <w:color w:val="000000"/>
              </w:rPr>
            </w:pPr>
          </w:p>
        </w:tc>
        <w:tc>
          <w:tcPr>
            <w:tcW w:w="1878" w:type="dxa"/>
            <w:vAlign w:val="center"/>
          </w:tcPr>
          <w:p w:rsidR="00F03B22" w:rsidRDefault="00F74FDD">
            <w:pPr>
              <w:pStyle w:val="TableParagraph"/>
              <w:jc w:val="right"/>
              <w:rPr>
                <w:rFonts w:ascii="仿宋" w:eastAsia="仿宋" w:hAnsi="仿宋" w:cs="仿宋"/>
              </w:rPr>
            </w:pPr>
            <w:r>
              <w:rPr>
                <w:rFonts w:ascii="仿宋" w:eastAsia="仿宋" w:hAnsi="仿宋" w:cs="仿宋" w:hint="eastAsia"/>
              </w:rPr>
              <w:t>公开08表</w:t>
            </w:r>
          </w:p>
        </w:tc>
      </w:tr>
      <w:tr w:rsidR="00F03B22">
        <w:trPr>
          <w:trHeight w:val="320"/>
        </w:trPr>
        <w:tc>
          <w:tcPr>
            <w:tcW w:w="8595" w:type="dxa"/>
            <w:gridSpan w:val="4"/>
            <w:vAlign w:val="center"/>
          </w:tcPr>
          <w:p w:rsidR="00F03B22" w:rsidRDefault="00F74FD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南京市医疗保险管理中心</w:t>
            </w:r>
          </w:p>
        </w:tc>
        <w:tc>
          <w:tcPr>
            <w:tcW w:w="1878" w:type="dxa"/>
            <w:vAlign w:val="center"/>
          </w:tcPr>
          <w:p w:rsidR="00F03B22" w:rsidRDefault="00F74FDD">
            <w:pPr>
              <w:pStyle w:val="TableParagraph"/>
              <w:jc w:val="right"/>
              <w:rPr>
                <w:rFonts w:ascii="仿宋" w:eastAsia="仿宋" w:hAnsi="仿宋" w:cs="仿宋"/>
                <w:sz w:val="20"/>
              </w:rPr>
            </w:pPr>
            <w:r>
              <w:rPr>
                <w:rFonts w:ascii="仿宋" w:eastAsia="仿宋" w:hAnsi="仿宋" w:cs="仿宋" w:hint="eastAsia"/>
              </w:rPr>
              <w:t>金额单位：万元</w:t>
            </w:r>
          </w:p>
        </w:tc>
      </w:tr>
      <w:tr w:rsidR="00F03B22">
        <w:trPr>
          <w:trHeight w:val="180"/>
        </w:trPr>
        <w:tc>
          <w:tcPr>
            <w:tcW w:w="4687" w:type="dxa"/>
            <w:gridSpan w:val="2"/>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F03B22">
        <w:trPr>
          <w:trHeight w:val="474"/>
        </w:trPr>
        <w:tc>
          <w:tcPr>
            <w:tcW w:w="1121"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公用经费</w:t>
            </w:r>
          </w:p>
        </w:tc>
      </w:tr>
      <w:tr w:rsidR="00F03B22">
        <w:trPr>
          <w:trHeight w:hRule="exact" w:val="394"/>
        </w:trPr>
        <w:tc>
          <w:tcPr>
            <w:tcW w:w="4687" w:type="dxa"/>
            <w:gridSpan w:val="2"/>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4,111.10</w:t>
            </w:r>
          </w:p>
        </w:tc>
        <w:tc>
          <w:tcPr>
            <w:tcW w:w="1708" w:type="dxa"/>
            <w:tcBorders>
              <w:left w:val="single" w:sz="4" w:space="0" w:color="000000"/>
              <w:bottom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3,368.89</w:t>
            </w:r>
          </w:p>
        </w:tc>
        <w:tc>
          <w:tcPr>
            <w:tcW w:w="1878" w:type="dxa"/>
            <w:tcBorders>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742.20</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3,323.93</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3,323.93</w:t>
            </w: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511.23</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511.23</w:t>
            </w: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1,182.02</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1,182.02</w:t>
            </w: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532.52</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532.52</w:t>
            </w: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225.41</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225.41</w:t>
            </w: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112.70</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112.70</w:t>
            </w: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95.11</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95.11</w:t>
            </w: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13.70</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13.70</w:t>
            </w: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302.07</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302.07</w:t>
            </w: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34.16</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34.16</w:t>
            </w: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315.00</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315.00</w:t>
            </w: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742.20</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742.20</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61.01</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61.01</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1.59</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1.59</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4.00</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4.00</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30.00</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30.00</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5.74</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5.74</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118.92</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118.92</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10.05</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10.05</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7.72</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7.72</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338.38</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338.38</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0.85</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0.85</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1.00</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1.00</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40.00</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40.00</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35.00</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35.00</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4.18</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4.18</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78.83</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78.83</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4.93</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4.93</w:t>
            </w: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44.97</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44.97</w:t>
            </w: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41.01</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41.01</w:t>
            </w: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3.96</w:t>
            </w: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3.96</w:t>
            </w: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bl>
    <w:p w:rsidR="00F03B22" w:rsidRDefault="00F74FDD">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F03B22" w:rsidRDefault="00F03B22">
      <w:pPr>
        <w:spacing w:before="25"/>
        <w:jc w:val="both"/>
        <w:rPr>
          <w:rFonts w:ascii="仿宋" w:eastAsia="仿宋" w:hAnsi="仿宋" w:cs="仿宋"/>
        </w:rPr>
        <w:sectPr w:rsidR="00F03B22">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F03B22">
        <w:trPr>
          <w:trHeight w:val="321"/>
        </w:trPr>
        <w:tc>
          <w:tcPr>
            <w:tcW w:w="16486" w:type="dxa"/>
            <w:gridSpan w:val="16"/>
          </w:tcPr>
          <w:p w:rsidR="00F03B22" w:rsidRDefault="00F74FDD">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F03B22">
        <w:trPr>
          <w:trHeight w:val="207"/>
        </w:trPr>
        <w:tc>
          <w:tcPr>
            <w:tcW w:w="16486" w:type="dxa"/>
            <w:gridSpan w:val="16"/>
          </w:tcPr>
          <w:p w:rsidR="00F03B22" w:rsidRDefault="00F74FDD">
            <w:pPr>
              <w:pStyle w:val="TableParagraph"/>
              <w:jc w:val="right"/>
              <w:rPr>
                <w:rFonts w:ascii="仿宋" w:eastAsia="仿宋" w:hAnsi="仿宋" w:cs="仿宋"/>
                <w:sz w:val="20"/>
              </w:rPr>
            </w:pPr>
            <w:r>
              <w:rPr>
                <w:rFonts w:ascii="仿宋" w:eastAsia="仿宋" w:hAnsi="仿宋" w:cs="仿宋" w:hint="eastAsia"/>
              </w:rPr>
              <w:t>公开09表</w:t>
            </w:r>
          </w:p>
        </w:tc>
      </w:tr>
      <w:tr w:rsidR="00F03B22">
        <w:trPr>
          <w:trHeight w:val="103"/>
        </w:trPr>
        <w:tc>
          <w:tcPr>
            <w:tcW w:w="8212" w:type="dxa"/>
            <w:gridSpan w:val="8"/>
            <w:tcBorders>
              <w:bottom w:val="single" w:sz="4" w:space="0" w:color="auto"/>
            </w:tcBorders>
          </w:tcPr>
          <w:p w:rsidR="00F03B22" w:rsidRDefault="00F74FD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南京市医疗保险管理中心</w:t>
            </w:r>
          </w:p>
        </w:tc>
        <w:tc>
          <w:tcPr>
            <w:tcW w:w="8274" w:type="dxa"/>
            <w:gridSpan w:val="8"/>
            <w:tcBorders>
              <w:bottom w:val="single" w:sz="4" w:space="0" w:color="auto"/>
            </w:tcBorders>
          </w:tcPr>
          <w:p w:rsidR="00F03B22" w:rsidRDefault="00F74FDD">
            <w:pPr>
              <w:pStyle w:val="TableParagraph"/>
              <w:jc w:val="right"/>
              <w:rPr>
                <w:rFonts w:ascii="仿宋" w:eastAsia="仿宋" w:hAnsi="仿宋" w:cs="仿宋"/>
              </w:rPr>
            </w:pPr>
            <w:r>
              <w:rPr>
                <w:rFonts w:ascii="仿宋" w:eastAsia="仿宋" w:hAnsi="仿宋" w:cs="仿宋" w:hint="eastAsia"/>
              </w:rPr>
              <w:t>金额单位：万元</w:t>
            </w:r>
          </w:p>
        </w:tc>
      </w:tr>
      <w:tr w:rsidR="00F03B22">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F03B22" w:rsidRDefault="00F74FDD">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F03B22" w:rsidRDefault="00F74FDD">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F03B22">
        <w:trPr>
          <w:trHeight w:val="179"/>
        </w:trPr>
        <w:tc>
          <w:tcPr>
            <w:tcW w:w="6159" w:type="dxa"/>
            <w:gridSpan w:val="6"/>
            <w:tcBorders>
              <w:top w:val="single" w:sz="4" w:space="0" w:color="auto"/>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培训费</w:t>
            </w:r>
          </w:p>
        </w:tc>
      </w:tr>
      <w:tr w:rsidR="00F03B22">
        <w:trPr>
          <w:trHeight w:val="297"/>
        </w:trPr>
        <w:tc>
          <w:tcPr>
            <w:tcW w:w="1044" w:type="dxa"/>
            <w:vMerge w:val="restart"/>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公务</w:t>
            </w:r>
          </w:p>
          <w:p w:rsidR="00F03B22" w:rsidRDefault="00F74FDD">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F03B22" w:rsidRDefault="00F03B22">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F03B22" w:rsidRDefault="00F03B22">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F03B22" w:rsidRDefault="00F74FDD">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F03B22" w:rsidRDefault="00F74FDD">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公务</w:t>
            </w:r>
          </w:p>
          <w:p w:rsidR="00F03B22" w:rsidRDefault="00F74FDD">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F03B22" w:rsidRDefault="00F03B22">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F03B22" w:rsidRDefault="00F03B22">
            <w:pPr>
              <w:jc w:val="center"/>
              <w:rPr>
                <w:rFonts w:ascii="仿宋" w:eastAsia="仿宋" w:hAnsi="仿宋" w:cs="仿宋"/>
                <w:sz w:val="20"/>
              </w:rPr>
            </w:pPr>
          </w:p>
        </w:tc>
      </w:tr>
      <w:tr w:rsidR="00F03B22">
        <w:trPr>
          <w:trHeight w:hRule="exact" w:val="621"/>
        </w:trPr>
        <w:tc>
          <w:tcPr>
            <w:tcW w:w="1044" w:type="dxa"/>
            <w:vMerge/>
            <w:tcBorders>
              <w:left w:val="single" w:sz="4" w:space="0" w:color="000000"/>
              <w:bottom w:val="single" w:sz="4" w:space="0" w:color="000000"/>
            </w:tcBorders>
          </w:tcPr>
          <w:p w:rsidR="00F03B22" w:rsidRDefault="00F03B22">
            <w:pPr>
              <w:rPr>
                <w:rFonts w:ascii="仿宋" w:eastAsia="仿宋" w:hAnsi="仿宋" w:cs="仿宋"/>
                <w:sz w:val="2"/>
                <w:szCs w:val="2"/>
              </w:rPr>
            </w:pPr>
          </w:p>
        </w:tc>
        <w:tc>
          <w:tcPr>
            <w:tcW w:w="1042" w:type="dxa"/>
            <w:vMerge/>
            <w:tcBorders>
              <w:left w:val="single" w:sz="4" w:space="0" w:color="000000"/>
              <w:bottom w:val="single" w:sz="4" w:space="0" w:color="000000"/>
            </w:tcBorders>
          </w:tcPr>
          <w:p w:rsidR="00F03B22" w:rsidRDefault="00F03B22">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F03B22" w:rsidRDefault="00F03B22">
            <w:pPr>
              <w:rPr>
                <w:rFonts w:ascii="仿宋" w:eastAsia="仿宋" w:hAnsi="仿宋" w:cs="仿宋"/>
                <w:sz w:val="2"/>
                <w:szCs w:val="2"/>
              </w:rPr>
            </w:pPr>
          </w:p>
        </w:tc>
        <w:tc>
          <w:tcPr>
            <w:tcW w:w="1043" w:type="dxa"/>
            <w:vMerge/>
            <w:tcBorders>
              <w:left w:val="single" w:sz="4" w:space="0" w:color="000000"/>
              <w:bottom w:val="single" w:sz="4" w:space="0" w:color="000000"/>
            </w:tcBorders>
          </w:tcPr>
          <w:p w:rsidR="00F03B22" w:rsidRDefault="00F03B2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F03B22" w:rsidRDefault="00F03B22">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F03B22" w:rsidRDefault="00F03B2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F03B22" w:rsidRDefault="00F03B22">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F03B22" w:rsidRDefault="00F03B22">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F03B22" w:rsidRDefault="00F03B22">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F03B22" w:rsidRDefault="00F03B22">
            <w:pPr>
              <w:rPr>
                <w:rFonts w:ascii="仿宋" w:eastAsia="仿宋" w:hAnsi="仿宋" w:cs="仿宋"/>
                <w:sz w:val="2"/>
                <w:szCs w:val="2"/>
              </w:rPr>
            </w:pPr>
          </w:p>
        </w:tc>
      </w:tr>
      <w:tr w:rsidR="00F03B22">
        <w:trPr>
          <w:cantSplit/>
          <w:trHeight w:val="380"/>
        </w:trPr>
        <w:tc>
          <w:tcPr>
            <w:tcW w:w="1044" w:type="dxa"/>
            <w:tcBorders>
              <w:left w:val="single" w:sz="4" w:space="0" w:color="000000"/>
              <w:bottom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8.88</w:t>
            </w:r>
          </w:p>
        </w:tc>
        <w:tc>
          <w:tcPr>
            <w:tcW w:w="1042" w:type="dxa"/>
            <w:tcBorders>
              <w:left w:val="single" w:sz="4" w:space="0" w:color="000000"/>
              <w:bottom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3.56</w:t>
            </w:r>
          </w:p>
        </w:tc>
        <w:tc>
          <w:tcPr>
            <w:tcW w:w="1020" w:type="dxa"/>
            <w:tcBorders>
              <w:left w:val="single" w:sz="4" w:space="0" w:color="000000"/>
              <w:bottom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4.32</w:t>
            </w:r>
          </w:p>
        </w:tc>
        <w:tc>
          <w:tcPr>
            <w:tcW w:w="1029" w:type="dxa"/>
            <w:tcBorders>
              <w:left w:val="single" w:sz="4" w:space="0" w:color="000000"/>
              <w:bottom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4.32</w:t>
            </w:r>
          </w:p>
        </w:tc>
        <w:tc>
          <w:tcPr>
            <w:tcW w:w="1026" w:type="dxa"/>
            <w:tcBorders>
              <w:left w:val="single" w:sz="4" w:space="0" w:color="000000"/>
              <w:bottom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43" w:type="dxa"/>
            <w:tcBorders>
              <w:left w:val="single" w:sz="4" w:space="0" w:color="000000"/>
              <w:bottom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10" w:type="dxa"/>
            <w:tcBorders>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11.26</w:t>
            </w:r>
          </w:p>
        </w:tc>
        <w:tc>
          <w:tcPr>
            <w:tcW w:w="1058" w:type="dxa"/>
            <w:tcBorders>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8.74</w:t>
            </w:r>
          </w:p>
        </w:tc>
        <w:tc>
          <w:tcPr>
            <w:tcW w:w="1010" w:type="dxa"/>
            <w:tcBorders>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3.56</w:t>
            </w:r>
          </w:p>
        </w:tc>
        <w:tc>
          <w:tcPr>
            <w:tcW w:w="948" w:type="dxa"/>
            <w:tcBorders>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4.18</w:t>
            </w:r>
          </w:p>
        </w:tc>
        <w:tc>
          <w:tcPr>
            <w:tcW w:w="1089" w:type="dxa"/>
            <w:tcBorders>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4.18</w:t>
            </w:r>
          </w:p>
        </w:tc>
        <w:tc>
          <w:tcPr>
            <w:tcW w:w="1043" w:type="dxa"/>
            <w:tcBorders>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57" w:type="dxa"/>
            <w:tcBorders>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0.85</w:t>
            </w:r>
          </w:p>
        </w:tc>
        <w:tc>
          <w:tcPr>
            <w:tcW w:w="1027" w:type="dxa"/>
            <w:tcBorders>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sz w:val="18"/>
                <w:szCs w:val="18"/>
              </w:rPr>
            </w:pPr>
            <w:r>
              <w:rPr>
                <w:rFonts w:ascii="仿宋" w:eastAsia="仿宋" w:hAnsi="仿宋" w:cs="仿宋" w:hint="eastAsia"/>
                <w:sz w:val="18"/>
                <w:szCs w:val="18"/>
              </w:rPr>
              <w:t>9.26</w:t>
            </w:r>
          </w:p>
        </w:tc>
      </w:tr>
    </w:tbl>
    <w:p w:rsidR="00F03B22" w:rsidRDefault="00F74FDD">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F03B22">
        <w:trPr>
          <w:cantSplit/>
          <w:trHeight w:val="214"/>
        </w:trPr>
        <w:tc>
          <w:tcPr>
            <w:tcW w:w="4028" w:type="dxa"/>
            <w:tcBorders>
              <w:top w:val="single" w:sz="4" w:space="0" w:color="auto"/>
              <w:left w:val="single" w:sz="4" w:space="0" w:color="auto"/>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统计数</w:t>
            </w:r>
          </w:p>
        </w:tc>
      </w:tr>
      <w:tr w:rsidR="00F03B22">
        <w:trPr>
          <w:cantSplit/>
          <w:trHeight w:val="190"/>
        </w:trPr>
        <w:tc>
          <w:tcPr>
            <w:tcW w:w="4028" w:type="dxa"/>
            <w:tcBorders>
              <w:top w:val="single" w:sz="4" w:space="0" w:color="auto"/>
              <w:left w:val="single" w:sz="4" w:space="0" w:color="auto"/>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因公出国（境）团组数(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1.00</w:t>
            </w:r>
          </w:p>
        </w:tc>
      </w:tr>
      <w:tr w:rsidR="00F03B22">
        <w:trPr>
          <w:cantSplit/>
          <w:trHeight w:val="190"/>
        </w:trPr>
        <w:tc>
          <w:tcPr>
            <w:tcW w:w="4028" w:type="dxa"/>
            <w:tcBorders>
              <w:top w:val="single" w:sz="4" w:space="0" w:color="auto"/>
              <w:left w:val="single" w:sz="4" w:space="0" w:color="auto"/>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2.00</w:t>
            </w:r>
          </w:p>
        </w:tc>
      </w:tr>
      <w:tr w:rsidR="00F03B22">
        <w:trPr>
          <w:cantSplit/>
          <w:trHeight w:val="190"/>
        </w:trPr>
        <w:tc>
          <w:tcPr>
            <w:tcW w:w="4028" w:type="dxa"/>
            <w:tcBorders>
              <w:top w:val="single" w:sz="4" w:space="0" w:color="auto"/>
              <w:left w:val="single" w:sz="4" w:space="0" w:color="auto"/>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国内公务接待批次(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3.00</w:t>
            </w:r>
          </w:p>
        </w:tc>
        <w:tc>
          <w:tcPr>
            <w:tcW w:w="3908" w:type="dxa"/>
            <w:tcBorders>
              <w:top w:val="single" w:sz="4" w:space="0" w:color="auto"/>
              <w:left w:val="single" w:sz="4" w:space="0" w:color="000000"/>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41.00</w:t>
            </w:r>
          </w:p>
        </w:tc>
      </w:tr>
      <w:tr w:rsidR="00F03B22">
        <w:trPr>
          <w:cantSplit/>
          <w:trHeight w:val="190"/>
        </w:trPr>
        <w:tc>
          <w:tcPr>
            <w:tcW w:w="4028" w:type="dxa"/>
            <w:tcBorders>
              <w:top w:val="single" w:sz="4" w:space="0" w:color="auto"/>
              <w:left w:val="single" w:sz="4" w:space="0" w:color="auto"/>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国（境）外公务接待批次(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0.00</w:t>
            </w:r>
          </w:p>
        </w:tc>
      </w:tr>
      <w:tr w:rsidR="00F03B22">
        <w:trPr>
          <w:cantSplit/>
          <w:trHeight w:val="190"/>
        </w:trPr>
        <w:tc>
          <w:tcPr>
            <w:tcW w:w="4028" w:type="dxa"/>
            <w:tcBorders>
              <w:top w:val="single" w:sz="4" w:space="0" w:color="auto"/>
              <w:left w:val="single" w:sz="4" w:space="0" w:color="auto"/>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召开会议次数(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53.00</w:t>
            </w:r>
          </w:p>
        </w:tc>
      </w:tr>
      <w:tr w:rsidR="00F03B22">
        <w:trPr>
          <w:cantSplit/>
          <w:trHeight w:val="190"/>
        </w:trPr>
        <w:tc>
          <w:tcPr>
            <w:tcW w:w="4028" w:type="dxa"/>
            <w:tcBorders>
              <w:top w:val="single" w:sz="4" w:space="0" w:color="auto"/>
              <w:left w:val="single" w:sz="4" w:space="0" w:color="auto"/>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组织培训次数(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5.00</w:t>
            </w:r>
          </w:p>
        </w:tc>
        <w:tc>
          <w:tcPr>
            <w:tcW w:w="3908" w:type="dxa"/>
            <w:tcBorders>
              <w:top w:val="single" w:sz="4" w:space="0" w:color="auto"/>
              <w:left w:val="single" w:sz="4" w:space="0" w:color="000000"/>
              <w:bottom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1,314.00</w:t>
            </w:r>
          </w:p>
        </w:tc>
      </w:tr>
    </w:tbl>
    <w:p w:rsidR="00F03B22" w:rsidRDefault="00F74FDD">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F03B22" w:rsidRDefault="00F03B22">
      <w:pPr>
        <w:ind w:left="227" w:firstLineChars="100" w:firstLine="220"/>
        <w:jc w:val="both"/>
        <w:rPr>
          <w:rFonts w:ascii="仿宋" w:eastAsia="仿宋" w:hAnsi="仿宋" w:cs="仿宋"/>
        </w:rPr>
        <w:sectPr w:rsidR="00F03B22">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F03B22">
        <w:trPr>
          <w:trHeight w:val="395"/>
        </w:trPr>
        <w:tc>
          <w:tcPr>
            <w:tcW w:w="15400" w:type="dxa"/>
            <w:gridSpan w:val="5"/>
            <w:vAlign w:val="center"/>
          </w:tcPr>
          <w:p w:rsidR="00F03B22" w:rsidRDefault="00F74FD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F03B22">
        <w:trPr>
          <w:trHeight w:val="323"/>
        </w:trPr>
        <w:tc>
          <w:tcPr>
            <w:tcW w:w="8426" w:type="dxa"/>
            <w:gridSpan w:val="2"/>
          </w:tcPr>
          <w:p w:rsidR="00F03B22" w:rsidRDefault="00F03B22">
            <w:pPr>
              <w:pStyle w:val="TableParagraph"/>
              <w:rPr>
                <w:rFonts w:ascii="仿宋" w:eastAsia="仿宋" w:hAnsi="仿宋" w:cs="仿宋"/>
                <w:sz w:val="20"/>
              </w:rPr>
            </w:pPr>
          </w:p>
        </w:tc>
        <w:tc>
          <w:tcPr>
            <w:tcW w:w="2684" w:type="dxa"/>
          </w:tcPr>
          <w:p w:rsidR="00F03B22" w:rsidRDefault="00F03B22">
            <w:pPr>
              <w:pStyle w:val="TableParagraph"/>
              <w:rPr>
                <w:rFonts w:ascii="仿宋" w:eastAsia="仿宋" w:hAnsi="仿宋" w:cs="仿宋"/>
                <w:sz w:val="27"/>
              </w:rPr>
            </w:pPr>
          </w:p>
        </w:tc>
        <w:tc>
          <w:tcPr>
            <w:tcW w:w="2432" w:type="dxa"/>
          </w:tcPr>
          <w:p w:rsidR="00F03B22" w:rsidRDefault="00F03B22">
            <w:pPr>
              <w:pStyle w:val="TableParagraph"/>
              <w:rPr>
                <w:rFonts w:ascii="仿宋" w:eastAsia="仿宋" w:hAnsi="仿宋" w:cs="仿宋"/>
                <w:sz w:val="20"/>
              </w:rPr>
            </w:pPr>
          </w:p>
        </w:tc>
        <w:tc>
          <w:tcPr>
            <w:tcW w:w="1858" w:type="dxa"/>
            <w:vAlign w:val="center"/>
          </w:tcPr>
          <w:p w:rsidR="00F03B22" w:rsidRDefault="00F74FDD">
            <w:pPr>
              <w:pStyle w:val="TableParagraph"/>
              <w:jc w:val="right"/>
              <w:rPr>
                <w:rFonts w:ascii="仿宋" w:eastAsia="仿宋" w:hAnsi="仿宋" w:cs="仿宋"/>
                <w:sz w:val="27"/>
              </w:rPr>
            </w:pPr>
            <w:r>
              <w:rPr>
                <w:rFonts w:ascii="仿宋" w:eastAsia="仿宋" w:hAnsi="仿宋" w:cs="仿宋" w:hint="eastAsia"/>
              </w:rPr>
              <w:t>公开10表</w:t>
            </w:r>
          </w:p>
        </w:tc>
      </w:tr>
      <w:tr w:rsidR="00F03B22">
        <w:trPr>
          <w:trHeight w:val="152"/>
        </w:trPr>
        <w:tc>
          <w:tcPr>
            <w:tcW w:w="13542" w:type="dxa"/>
            <w:gridSpan w:val="4"/>
            <w:vAlign w:val="center"/>
          </w:tcPr>
          <w:p w:rsidR="00F03B22" w:rsidRDefault="00F74FD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南京市医疗保险管理中心</w:t>
            </w:r>
          </w:p>
        </w:tc>
        <w:tc>
          <w:tcPr>
            <w:tcW w:w="1858" w:type="dxa"/>
            <w:vAlign w:val="center"/>
          </w:tcPr>
          <w:p w:rsidR="00F03B22" w:rsidRDefault="00F74FDD">
            <w:pPr>
              <w:pStyle w:val="TableParagraph"/>
              <w:jc w:val="right"/>
              <w:rPr>
                <w:rFonts w:ascii="仿宋" w:eastAsia="仿宋" w:hAnsi="仿宋" w:cs="仿宋"/>
                <w:sz w:val="27"/>
              </w:rPr>
            </w:pPr>
            <w:r>
              <w:rPr>
                <w:rFonts w:ascii="仿宋" w:eastAsia="仿宋" w:hAnsi="仿宋" w:cs="仿宋" w:hint="eastAsia"/>
              </w:rPr>
              <w:t>金额单位：万元</w:t>
            </w:r>
          </w:p>
        </w:tc>
      </w:tr>
      <w:tr w:rsidR="00F03B22">
        <w:trPr>
          <w:trHeight w:val="267"/>
        </w:trPr>
        <w:tc>
          <w:tcPr>
            <w:tcW w:w="8426" w:type="dxa"/>
            <w:gridSpan w:val="2"/>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项目支出</w:t>
            </w:r>
          </w:p>
        </w:tc>
      </w:tr>
      <w:tr w:rsidR="00F03B22">
        <w:trPr>
          <w:trHeight w:val="427"/>
        </w:trPr>
        <w:tc>
          <w:tcPr>
            <w:tcW w:w="1431"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功能分类</w:t>
            </w:r>
          </w:p>
          <w:p w:rsidR="00F03B22" w:rsidRDefault="00F74FDD">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F03B22" w:rsidRDefault="00F03B22">
            <w:pPr>
              <w:rPr>
                <w:rFonts w:ascii="仿宋" w:eastAsia="仿宋" w:hAnsi="仿宋" w:cs="仿宋"/>
              </w:rPr>
            </w:pPr>
          </w:p>
        </w:tc>
        <w:tc>
          <w:tcPr>
            <w:tcW w:w="2432" w:type="dxa"/>
            <w:vMerge/>
            <w:tcBorders>
              <w:left w:val="single" w:sz="4" w:space="0" w:color="000000"/>
              <w:bottom w:val="single" w:sz="4" w:space="0" w:color="000000"/>
            </w:tcBorders>
            <w:vAlign w:val="center"/>
          </w:tcPr>
          <w:p w:rsidR="00F03B22" w:rsidRDefault="00F03B22">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F03B22" w:rsidRDefault="00F03B22">
            <w:pPr>
              <w:rPr>
                <w:rFonts w:ascii="仿宋" w:eastAsia="仿宋" w:hAnsi="仿宋" w:cs="仿宋"/>
              </w:rPr>
            </w:pPr>
          </w:p>
        </w:tc>
      </w:tr>
      <w:tr w:rsidR="00F03B22">
        <w:trPr>
          <w:trHeight w:val="275"/>
        </w:trPr>
        <w:tc>
          <w:tcPr>
            <w:tcW w:w="8426" w:type="dxa"/>
            <w:gridSpan w:val="2"/>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lang w:val="en-US"/>
              </w:rPr>
            </w:pPr>
            <w:r>
              <w:rPr>
                <w:rFonts w:ascii="仿宋" w:eastAsia="仿宋" w:hAnsi="仿宋" w:cs="仿宋" w:hint="eastAsia"/>
                <w:lang w:val="en-US"/>
              </w:rPr>
              <w:t>3</w:t>
            </w:r>
          </w:p>
        </w:tc>
      </w:tr>
      <w:tr w:rsidR="00F03B22">
        <w:trPr>
          <w:trHeight w:hRule="exact" w:val="389"/>
        </w:trPr>
        <w:tc>
          <w:tcPr>
            <w:tcW w:w="8426" w:type="dxa"/>
            <w:gridSpan w:val="2"/>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bl>
    <w:p w:rsidR="00F03B22" w:rsidRDefault="00F74FDD">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F03B22" w:rsidRDefault="00F74FDD">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F03B22" w:rsidRDefault="00F03B22">
      <w:pPr>
        <w:spacing w:before="25"/>
        <w:jc w:val="both"/>
        <w:rPr>
          <w:rFonts w:ascii="仿宋" w:eastAsia="仿宋" w:hAnsi="仿宋" w:cs="仿宋"/>
          <w:lang w:val="en-US"/>
        </w:rPr>
        <w:sectPr w:rsidR="00F03B22">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F03B22">
        <w:trPr>
          <w:trHeight w:val="395"/>
        </w:trPr>
        <w:tc>
          <w:tcPr>
            <w:tcW w:w="15400" w:type="dxa"/>
            <w:gridSpan w:val="5"/>
            <w:vAlign w:val="center"/>
          </w:tcPr>
          <w:p w:rsidR="00F03B22" w:rsidRDefault="00F74FD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F03B22">
        <w:trPr>
          <w:trHeight w:val="323"/>
        </w:trPr>
        <w:tc>
          <w:tcPr>
            <w:tcW w:w="8520" w:type="dxa"/>
            <w:gridSpan w:val="2"/>
          </w:tcPr>
          <w:p w:rsidR="00F03B22" w:rsidRDefault="00F03B22">
            <w:pPr>
              <w:pStyle w:val="TableParagraph"/>
              <w:rPr>
                <w:rFonts w:ascii="仿宋" w:eastAsia="仿宋" w:hAnsi="仿宋" w:cs="仿宋"/>
                <w:sz w:val="20"/>
              </w:rPr>
            </w:pPr>
          </w:p>
        </w:tc>
        <w:tc>
          <w:tcPr>
            <w:tcW w:w="2510" w:type="dxa"/>
          </w:tcPr>
          <w:p w:rsidR="00F03B22" w:rsidRDefault="00F03B22">
            <w:pPr>
              <w:pStyle w:val="TableParagraph"/>
              <w:rPr>
                <w:rFonts w:ascii="仿宋" w:eastAsia="仿宋" w:hAnsi="仿宋" w:cs="仿宋"/>
                <w:sz w:val="27"/>
              </w:rPr>
            </w:pPr>
          </w:p>
        </w:tc>
        <w:tc>
          <w:tcPr>
            <w:tcW w:w="2309" w:type="dxa"/>
          </w:tcPr>
          <w:p w:rsidR="00F03B22" w:rsidRDefault="00F03B22">
            <w:pPr>
              <w:pStyle w:val="TableParagraph"/>
              <w:rPr>
                <w:rFonts w:ascii="仿宋" w:eastAsia="仿宋" w:hAnsi="仿宋" w:cs="仿宋"/>
                <w:sz w:val="20"/>
              </w:rPr>
            </w:pPr>
          </w:p>
        </w:tc>
        <w:tc>
          <w:tcPr>
            <w:tcW w:w="2061" w:type="dxa"/>
            <w:vAlign w:val="center"/>
          </w:tcPr>
          <w:p w:rsidR="00F03B22" w:rsidRDefault="00F74FDD">
            <w:pPr>
              <w:pStyle w:val="TableParagraph"/>
              <w:jc w:val="right"/>
              <w:rPr>
                <w:rFonts w:ascii="仿宋" w:eastAsia="仿宋" w:hAnsi="仿宋" w:cs="仿宋"/>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F03B22">
        <w:trPr>
          <w:trHeight w:val="152"/>
        </w:trPr>
        <w:tc>
          <w:tcPr>
            <w:tcW w:w="13339" w:type="dxa"/>
            <w:gridSpan w:val="4"/>
            <w:vAlign w:val="center"/>
          </w:tcPr>
          <w:p w:rsidR="00F03B22" w:rsidRDefault="00F74FD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南京市医疗保险管理中心</w:t>
            </w:r>
          </w:p>
        </w:tc>
        <w:tc>
          <w:tcPr>
            <w:tcW w:w="2061" w:type="dxa"/>
            <w:vAlign w:val="center"/>
          </w:tcPr>
          <w:p w:rsidR="00F03B22" w:rsidRDefault="00F74FDD">
            <w:pPr>
              <w:pStyle w:val="TableParagraph"/>
              <w:jc w:val="right"/>
              <w:rPr>
                <w:rFonts w:ascii="仿宋" w:eastAsia="仿宋" w:hAnsi="仿宋" w:cs="仿宋"/>
                <w:sz w:val="27"/>
              </w:rPr>
            </w:pPr>
            <w:r>
              <w:rPr>
                <w:rFonts w:ascii="仿宋" w:eastAsia="仿宋" w:hAnsi="仿宋" w:cs="仿宋" w:hint="eastAsia"/>
              </w:rPr>
              <w:t>金额单位：万元</w:t>
            </w:r>
          </w:p>
        </w:tc>
      </w:tr>
      <w:tr w:rsidR="00F03B22">
        <w:trPr>
          <w:trHeight w:val="267"/>
        </w:trPr>
        <w:tc>
          <w:tcPr>
            <w:tcW w:w="8520" w:type="dxa"/>
            <w:gridSpan w:val="2"/>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项目支出</w:t>
            </w:r>
          </w:p>
        </w:tc>
      </w:tr>
      <w:tr w:rsidR="00F03B22">
        <w:trPr>
          <w:trHeight w:val="427"/>
        </w:trPr>
        <w:tc>
          <w:tcPr>
            <w:tcW w:w="1462"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功能分类</w:t>
            </w:r>
          </w:p>
          <w:p w:rsidR="00F03B22" w:rsidRDefault="00F74FDD">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F03B22" w:rsidRDefault="00F03B22">
            <w:pPr>
              <w:rPr>
                <w:rFonts w:ascii="仿宋" w:eastAsia="仿宋" w:hAnsi="仿宋" w:cs="仿宋"/>
              </w:rPr>
            </w:pPr>
          </w:p>
        </w:tc>
        <w:tc>
          <w:tcPr>
            <w:tcW w:w="2309" w:type="dxa"/>
            <w:vMerge/>
            <w:tcBorders>
              <w:left w:val="single" w:sz="4" w:space="0" w:color="000000"/>
              <w:bottom w:val="single" w:sz="4" w:space="0" w:color="000000"/>
            </w:tcBorders>
            <w:vAlign w:val="center"/>
          </w:tcPr>
          <w:p w:rsidR="00F03B22" w:rsidRDefault="00F03B22">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F03B22" w:rsidRDefault="00F03B22">
            <w:pPr>
              <w:rPr>
                <w:rFonts w:ascii="仿宋" w:eastAsia="仿宋" w:hAnsi="仿宋" w:cs="仿宋"/>
              </w:rPr>
            </w:pPr>
          </w:p>
        </w:tc>
      </w:tr>
      <w:tr w:rsidR="00F03B22">
        <w:trPr>
          <w:trHeight w:val="275"/>
        </w:trPr>
        <w:tc>
          <w:tcPr>
            <w:tcW w:w="8520" w:type="dxa"/>
            <w:gridSpan w:val="2"/>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lang w:val="en-US"/>
              </w:rPr>
            </w:pPr>
            <w:r>
              <w:rPr>
                <w:rFonts w:ascii="仿宋" w:eastAsia="仿宋" w:hAnsi="仿宋" w:cs="仿宋" w:hint="eastAsia"/>
                <w:lang w:val="en-US"/>
              </w:rPr>
              <w:t>3</w:t>
            </w:r>
          </w:p>
        </w:tc>
      </w:tr>
      <w:tr w:rsidR="00F03B22">
        <w:trPr>
          <w:trHeight w:hRule="exact" w:val="389"/>
        </w:trPr>
        <w:tc>
          <w:tcPr>
            <w:tcW w:w="8520" w:type="dxa"/>
            <w:gridSpan w:val="2"/>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F03B22" w:rsidRDefault="00F03B22">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F03B22" w:rsidRDefault="00F03B2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bl>
    <w:p w:rsidR="00F03B22" w:rsidRDefault="00F74FDD">
      <w:pPr>
        <w:jc w:val="both"/>
        <w:rPr>
          <w:rFonts w:ascii="仿宋" w:eastAsia="仿宋" w:hAnsi="仿宋" w:cs="仿宋"/>
        </w:rPr>
      </w:pPr>
      <w:r>
        <w:rPr>
          <w:rFonts w:ascii="仿宋" w:eastAsia="仿宋" w:hAnsi="仿宋" w:cs="仿宋" w:hint="eastAsia"/>
        </w:rPr>
        <w:t>注：本表反映本年度国有资本经营预算财政拨款支出情况。</w:t>
      </w:r>
    </w:p>
    <w:p w:rsidR="00F03B22" w:rsidRDefault="00F74FDD">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F03B22" w:rsidRDefault="00F03B22">
      <w:pPr>
        <w:spacing w:before="25"/>
        <w:ind w:leftChars="-100" w:left="-220"/>
        <w:jc w:val="both"/>
        <w:rPr>
          <w:rFonts w:ascii="仿宋" w:eastAsia="仿宋" w:hAnsi="仿宋" w:cs="仿宋"/>
          <w:lang w:val="en-US"/>
        </w:rPr>
        <w:sectPr w:rsidR="00F03B22">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F03B22">
        <w:trPr>
          <w:trHeight w:val="319"/>
        </w:trPr>
        <w:tc>
          <w:tcPr>
            <w:tcW w:w="10466" w:type="dxa"/>
            <w:gridSpan w:val="3"/>
          </w:tcPr>
          <w:p w:rsidR="00F03B22" w:rsidRDefault="00F74FDD">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F03B22">
        <w:trPr>
          <w:trHeight w:val="90"/>
        </w:trPr>
        <w:tc>
          <w:tcPr>
            <w:tcW w:w="6632" w:type="dxa"/>
            <w:gridSpan w:val="2"/>
          </w:tcPr>
          <w:p w:rsidR="00F03B22" w:rsidRDefault="00F03B22">
            <w:pPr>
              <w:pStyle w:val="TableParagraph"/>
              <w:rPr>
                <w:rFonts w:ascii="仿宋" w:eastAsia="仿宋" w:hAnsi="仿宋" w:cs="仿宋"/>
                <w:sz w:val="20"/>
              </w:rPr>
            </w:pPr>
          </w:p>
        </w:tc>
        <w:tc>
          <w:tcPr>
            <w:tcW w:w="3834" w:type="dxa"/>
            <w:vAlign w:val="center"/>
          </w:tcPr>
          <w:p w:rsidR="00F03B22" w:rsidRDefault="00F74FDD">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F03B22">
        <w:trPr>
          <w:trHeight w:val="90"/>
        </w:trPr>
        <w:tc>
          <w:tcPr>
            <w:tcW w:w="6632" w:type="dxa"/>
            <w:gridSpan w:val="2"/>
            <w:vAlign w:val="center"/>
          </w:tcPr>
          <w:p w:rsidR="00F03B22" w:rsidRDefault="00F74FD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南京市医疗保险管理中心</w:t>
            </w:r>
          </w:p>
        </w:tc>
        <w:tc>
          <w:tcPr>
            <w:tcW w:w="3834" w:type="dxa"/>
            <w:vAlign w:val="center"/>
          </w:tcPr>
          <w:p w:rsidR="00F03B22" w:rsidRDefault="00F74FDD">
            <w:pPr>
              <w:pStyle w:val="TableParagraph"/>
              <w:jc w:val="right"/>
              <w:rPr>
                <w:rFonts w:ascii="仿宋" w:eastAsia="仿宋" w:hAnsi="仿宋" w:cs="仿宋"/>
                <w:sz w:val="27"/>
              </w:rPr>
            </w:pPr>
            <w:r>
              <w:rPr>
                <w:rFonts w:ascii="仿宋" w:eastAsia="仿宋" w:hAnsi="仿宋" w:cs="仿宋" w:hint="eastAsia"/>
              </w:rPr>
              <w:t>金额单位：万元</w:t>
            </w:r>
          </w:p>
        </w:tc>
      </w:tr>
      <w:tr w:rsidR="00F03B22">
        <w:trPr>
          <w:trHeight w:val="319"/>
        </w:trPr>
        <w:tc>
          <w:tcPr>
            <w:tcW w:w="6632" w:type="dxa"/>
            <w:gridSpan w:val="2"/>
            <w:tcBorders>
              <w:top w:val="single" w:sz="4" w:space="0" w:color="000000"/>
              <w:left w:val="single" w:sz="4" w:space="0" w:color="000000"/>
              <w:bottom w:val="single" w:sz="4" w:space="0" w:color="000000"/>
            </w:tcBorders>
          </w:tcPr>
          <w:p w:rsidR="00F03B22" w:rsidRDefault="00F74FD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机关运行经费支出决算</w:t>
            </w:r>
          </w:p>
        </w:tc>
      </w:tr>
      <w:tr w:rsidR="00F03B22">
        <w:trPr>
          <w:trHeight w:val="363"/>
        </w:trPr>
        <w:tc>
          <w:tcPr>
            <w:tcW w:w="1642"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F03B22" w:rsidRDefault="00F03B22">
            <w:pPr>
              <w:rPr>
                <w:rFonts w:ascii="仿宋" w:eastAsia="仿宋" w:hAnsi="仿宋" w:cs="仿宋"/>
              </w:rPr>
            </w:pPr>
          </w:p>
        </w:tc>
      </w:tr>
      <w:tr w:rsidR="00F03B22">
        <w:trPr>
          <w:trHeight w:val="229"/>
        </w:trPr>
        <w:tc>
          <w:tcPr>
            <w:tcW w:w="6632" w:type="dxa"/>
            <w:gridSpan w:val="2"/>
            <w:tcBorders>
              <w:left w:val="single" w:sz="4" w:space="0" w:color="000000"/>
              <w:bottom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742.20</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742.20</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61.01</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1.59</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4.00</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30.00</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5.74</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118.92</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10.05</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7.72</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338.38</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0.85</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1.00</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40.00</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35.00</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4.18</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78.83</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74FDD">
            <w:pPr>
              <w:jc w:val="right"/>
              <w:rPr>
                <w:rFonts w:ascii="仿宋" w:eastAsia="仿宋" w:hAnsi="仿宋" w:cs="仿宋"/>
              </w:rPr>
            </w:pPr>
            <w:r>
              <w:rPr>
                <w:rFonts w:ascii="仿宋" w:eastAsia="仿宋" w:hAnsi="仿宋" w:cs="仿宋" w:hint="eastAsia"/>
              </w:rPr>
              <w:t>4.93</w:t>
            </w: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r w:rsidR="00F03B2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F03B22" w:rsidRDefault="00F03B22">
            <w:pPr>
              <w:jc w:val="right"/>
              <w:rPr>
                <w:rFonts w:ascii="仿宋" w:eastAsia="仿宋" w:hAnsi="仿宋" w:cs="仿宋"/>
              </w:rPr>
            </w:pPr>
          </w:p>
        </w:tc>
      </w:tr>
    </w:tbl>
    <w:p w:rsidR="00F03B22" w:rsidRDefault="00F74FDD">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F03B22" w:rsidRDefault="00F03B22">
      <w:pPr>
        <w:tabs>
          <w:tab w:val="left" w:pos="440"/>
        </w:tabs>
        <w:spacing w:before="25"/>
        <w:ind w:leftChars="200" w:left="440"/>
        <w:jc w:val="both"/>
        <w:rPr>
          <w:rFonts w:ascii="仿宋" w:eastAsia="仿宋" w:hAnsi="仿宋" w:cs="仿宋"/>
          <w:lang w:val="en-US"/>
        </w:rPr>
        <w:sectPr w:rsidR="00F03B22">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F03B22">
        <w:trPr>
          <w:trHeight w:val="333"/>
        </w:trPr>
        <w:tc>
          <w:tcPr>
            <w:tcW w:w="10459" w:type="dxa"/>
            <w:gridSpan w:val="4"/>
            <w:vAlign w:val="center"/>
          </w:tcPr>
          <w:p w:rsidR="00F03B22" w:rsidRDefault="00F74FD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F03B22">
        <w:trPr>
          <w:trHeight w:val="333"/>
        </w:trPr>
        <w:tc>
          <w:tcPr>
            <w:tcW w:w="4472" w:type="dxa"/>
          </w:tcPr>
          <w:p w:rsidR="00F03B22" w:rsidRDefault="00F03B22">
            <w:pPr>
              <w:pStyle w:val="TableParagraph"/>
              <w:rPr>
                <w:rFonts w:ascii="仿宋" w:eastAsia="仿宋" w:hAnsi="仿宋" w:cs="仿宋"/>
              </w:rPr>
            </w:pPr>
          </w:p>
        </w:tc>
        <w:tc>
          <w:tcPr>
            <w:tcW w:w="722" w:type="dxa"/>
          </w:tcPr>
          <w:p w:rsidR="00F03B22" w:rsidRDefault="00F03B22">
            <w:pPr>
              <w:pStyle w:val="TableParagraph"/>
              <w:rPr>
                <w:rFonts w:ascii="仿宋" w:eastAsia="仿宋" w:hAnsi="仿宋" w:cs="仿宋"/>
              </w:rPr>
            </w:pPr>
          </w:p>
        </w:tc>
        <w:tc>
          <w:tcPr>
            <w:tcW w:w="1992" w:type="dxa"/>
          </w:tcPr>
          <w:p w:rsidR="00F03B22" w:rsidRDefault="00F03B22">
            <w:pPr>
              <w:pStyle w:val="TableParagraph"/>
              <w:rPr>
                <w:rFonts w:ascii="仿宋" w:eastAsia="仿宋" w:hAnsi="仿宋" w:cs="仿宋"/>
              </w:rPr>
            </w:pPr>
          </w:p>
        </w:tc>
        <w:tc>
          <w:tcPr>
            <w:tcW w:w="3273" w:type="dxa"/>
            <w:vAlign w:val="center"/>
          </w:tcPr>
          <w:p w:rsidR="00F03B22" w:rsidRDefault="00F74FDD">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F03B22">
        <w:trPr>
          <w:trHeight w:val="90"/>
        </w:trPr>
        <w:tc>
          <w:tcPr>
            <w:tcW w:w="7186" w:type="dxa"/>
            <w:gridSpan w:val="3"/>
          </w:tcPr>
          <w:p w:rsidR="00F03B22" w:rsidRDefault="00F74FD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南京市医疗保险管理中心</w:t>
            </w:r>
          </w:p>
        </w:tc>
        <w:tc>
          <w:tcPr>
            <w:tcW w:w="3273" w:type="dxa"/>
            <w:vAlign w:val="center"/>
          </w:tcPr>
          <w:p w:rsidR="00F03B22" w:rsidRDefault="00F74FDD">
            <w:pPr>
              <w:pStyle w:val="TableParagraph"/>
              <w:jc w:val="right"/>
              <w:rPr>
                <w:rFonts w:ascii="仿宋" w:eastAsia="仿宋" w:hAnsi="仿宋" w:cs="仿宋"/>
              </w:rPr>
            </w:pPr>
            <w:r>
              <w:rPr>
                <w:rFonts w:ascii="仿宋" w:eastAsia="仿宋" w:hAnsi="仿宋" w:cs="仿宋" w:hint="eastAsia"/>
              </w:rPr>
              <w:t>单位：万元</w:t>
            </w:r>
          </w:p>
        </w:tc>
      </w:tr>
      <w:tr w:rsidR="00F03B22">
        <w:trPr>
          <w:trHeight w:val="244"/>
        </w:trPr>
        <w:tc>
          <w:tcPr>
            <w:tcW w:w="4472" w:type="dxa"/>
            <w:tcBorders>
              <w:top w:val="single" w:sz="4" w:space="0" w:color="000000"/>
              <w:left w:val="single" w:sz="4" w:space="0" w:color="000000"/>
              <w:bottom w:val="single" w:sz="4" w:space="0" w:color="000000"/>
            </w:tcBorders>
            <w:vAlign w:val="center"/>
          </w:tcPr>
          <w:p w:rsidR="00F03B22" w:rsidRDefault="00F74FDD">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F03B22" w:rsidRDefault="00F74FDD">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F03B22">
        <w:trPr>
          <w:cantSplit/>
          <w:trHeight w:val="277"/>
        </w:trPr>
        <w:tc>
          <w:tcPr>
            <w:tcW w:w="4472" w:type="dxa"/>
            <w:tcBorders>
              <w:left w:val="single" w:sz="4" w:space="0" w:color="000000"/>
              <w:bottom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381.63</w:t>
            </w:r>
          </w:p>
        </w:tc>
      </w:tr>
      <w:tr w:rsidR="00F03B22">
        <w:trPr>
          <w:cantSplit/>
          <w:trHeight w:val="277"/>
        </w:trPr>
        <w:tc>
          <w:tcPr>
            <w:tcW w:w="4472" w:type="dxa"/>
            <w:tcBorders>
              <w:left w:val="single" w:sz="4" w:space="0" w:color="000000"/>
              <w:bottom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9.34</w:t>
            </w:r>
          </w:p>
        </w:tc>
      </w:tr>
      <w:tr w:rsidR="00F03B22">
        <w:trPr>
          <w:cantSplit/>
          <w:trHeight w:val="277"/>
        </w:trPr>
        <w:tc>
          <w:tcPr>
            <w:tcW w:w="4472" w:type="dxa"/>
            <w:tcBorders>
              <w:left w:val="single" w:sz="4" w:space="0" w:color="000000"/>
              <w:bottom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77"/>
        </w:trPr>
        <w:tc>
          <w:tcPr>
            <w:tcW w:w="4472" w:type="dxa"/>
            <w:tcBorders>
              <w:left w:val="single" w:sz="4" w:space="0" w:color="000000"/>
              <w:bottom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F03B22" w:rsidRDefault="00F74FDD">
            <w:pPr>
              <w:pStyle w:val="TableParagraph"/>
              <w:jc w:val="right"/>
              <w:rPr>
                <w:rFonts w:ascii="仿宋" w:eastAsia="仿宋" w:hAnsi="仿宋" w:cs="仿宋"/>
              </w:rPr>
            </w:pPr>
            <w:r>
              <w:rPr>
                <w:rFonts w:ascii="仿宋" w:eastAsia="仿宋" w:hAnsi="仿宋" w:cs="仿宋" w:hint="eastAsia"/>
              </w:rPr>
              <w:t>372.29</w:t>
            </w:r>
          </w:p>
        </w:tc>
      </w:tr>
      <w:tr w:rsidR="00F03B22">
        <w:trPr>
          <w:cantSplit/>
          <w:trHeight w:val="277"/>
        </w:trPr>
        <w:tc>
          <w:tcPr>
            <w:tcW w:w="4472" w:type="dxa"/>
            <w:tcBorders>
              <w:left w:val="single" w:sz="4" w:space="0" w:color="000000"/>
              <w:bottom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r w:rsidR="00F03B22">
        <w:trPr>
          <w:cantSplit/>
          <w:trHeight w:val="277"/>
        </w:trPr>
        <w:tc>
          <w:tcPr>
            <w:tcW w:w="4472" w:type="dxa"/>
            <w:tcBorders>
              <w:left w:val="single" w:sz="4" w:space="0" w:color="000000"/>
              <w:bottom w:val="single" w:sz="4" w:space="0" w:color="000000"/>
            </w:tcBorders>
            <w:vAlign w:val="center"/>
          </w:tcPr>
          <w:p w:rsidR="00F03B22" w:rsidRDefault="00F74FDD">
            <w:pPr>
              <w:pStyle w:val="TableParagraph"/>
              <w:rPr>
                <w:rFonts w:ascii="仿宋" w:eastAsia="仿宋" w:hAnsi="仿宋" w:cs="仿宋"/>
              </w:rPr>
            </w:pPr>
            <w:r>
              <w:rPr>
                <w:rFonts w:ascii="仿宋" w:eastAsia="仿宋" w:hAnsi="仿宋" w:cs="仿宋" w:hint="eastAsia"/>
              </w:rPr>
              <w:t xml:space="preserve">  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F03B22" w:rsidRDefault="00F03B22">
            <w:pPr>
              <w:pStyle w:val="TableParagraph"/>
              <w:jc w:val="right"/>
              <w:rPr>
                <w:rFonts w:ascii="仿宋" w:eastAsia="仿宋" w:hAnsi="仿宋" w:cs="仿宋"/>
              </w:rPr>
            </w:pPr>
          </w:p>
        </w:tc>
      </w:tr>
    </w:tbl>
    <w:p w:rsidR="00F03B22" w:rsidRDefault="00F74FDD">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F03B22" w:rsidRDefault="00F03B22">
      <w:pPr>
        <w:ind w:leftChars="200" w:left="440"/>
        <w:jc w:val="both"/>
        <w:rPr>
          <w:rFonts w:ascii="仿宋" w:eastAsia="仿宋" w:hAnsi="仿宋" w:cs="仿宋"/>
          <w:lang w:val="en-US"/>
        </w:rPr>
        <w:sectPr w:rsidR="00F03B22">
          <w:pgSz w:w="11906" w:h="16838"/>
          <w:pgMar w:top="720" w:right="720" w:bottom="720" w:left="720" w:header="170" w:footer="280" w:gutter="0"/>
          <w:pgNumType w:fmt="numberInDash"/>
          <w:cols w:space="720"/>
          <w:formProt w:val="0"/>
          <w:docGrid w:linePitch="100"/>
        </w:sectPr>
      </w:pPr>
    </w:p>
    <w:p w:rsidR="00F03B22" w:rsidRDefault="00F74FDD">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F03B22" w:rsidRDefault="00F03B22">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2024年度收入、支出决算总计5,033.46万元。与上年相比，收、支总计各减少176.93万元，减少3.4%。其中：</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（一）收入决算总计5,033.46万元。包括：</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1.本年收入决算合计5,033.46万元。与上年相比，减少176.93万元，减少3.4%，变动原因：基本支出增加18.3万元，项目支出减少195.23万元。</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2.使用非财政拨款结余（含专用结余）0万元。与上年决算数相同。</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3.年初结转和结余0万元。与上年决算数相同。</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（二）支出决算总计5,033.46万元。包括：</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1.本年支出决算合计5,008.2万元。与上年相比，减少192.27万元，减少3.7%，变动原因：基本支出增长2.96万元，项目支出减少195.23万元。</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2.结余分配0万元。与上年决算数相同。</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3.年末结转和结余25.27万元。结转和结余事项：为基本支出结转。与上年相比，增加15.35万元，增长154.74%，变动原因：年底收到</w:t>
      </w:r>
      <w:proofErr w:type="gramStart"/>
      <w:r>
        <w:rPr>
          <w:rFonts w:ascii="仿宋" w:eastAsia="仿宋" w:hAnsi="仿宋" w:cs="仿宋"/>
        </w:rPr>
        <w:t>医</w:t>
      </w:r>
      <w:proofErr w:type="gramEnd"/>
      <w:r>
        <w:rPr>
          <w:rFonts w:ascii="仿宋" w:eastAsia="仿宋" w:hAnsi="仿宋" w:cs="仿宋"/>
        </w:rPr>
        <w:t>保结算生育津贴13.01万元，按财务规定做冲减支出处理。</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年度本年收入决算合计5,033.46万元，其中：财政拨款收入5,033.46万元，占100%；上级补助收入0万元，占0%；财政专户管理教育收费0万元，占0%；事业收入（不含专户管理教育收费）0万元，占0%；经营收入0万元，占0%；附属单位上缴收入0万元，占0%；其他收入0万元，占0%。</w:t>
      </w:r>
    </w:p>
    <w:p w:rsidR="00F03B22" w:rsidRDefault="00F74FDD">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2024年度本年支出决算合计5,008.2万元，其中：基本支出4,111.1万元，占82.09%；项目支出897.1万元，占17.91%；上缴上级支出0万元，占0%；经营支出0万元，占0%；对附属单位补助支出0万元，占0%。</w:t>
      </w:r>
    </w:p>
    <w:p w:rsidR="00F03B22" w:rsidRDefault="00F74FDD">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2024年度财政拨款收入、支出决算总计5,033.46万元。与上年相比，收、支总计各减少176.93万元，减少3.4%，变动原因：基本支出增加18.3万元，项目支出减少195.23万元。</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2024年度财政拨款支出决算5,008.2万元，占本年支出合计的100%。与2024年度财政拨款支出年初预算4,367.73万元相比，完成年初预算的114.66%。其中：</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1.行政事业单位养老支出（款）行政单位离退休（项）。年初预算10.4万元，支出决算9.73万元，完成年初预算的93.56%。决算数与年初预算数的差异原因：财政年中追加了新增退休养老支出。</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2.行政事业单位养老支出（款）机关事业单位基本养老保险缴费支出（项）。年初预算231.73万元，支出决算225.41万元，完成年初预算的97.27%。决算数与年初预算数的差异原因：在职人员增减变动。</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3.行政事业单位养老支出（款）机关事业单位职业年金缴费支出（项）。年初预算115.86万元，支出决算112.7万元，完成年初预算的97.27%。决算数与年初预算数的差异原因：在职人员增减变动。</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4.社会福利（款）其他社会福利支出（项）。年初预算0万元，支出决算380万元，（年初预算数为0万元，无法计算完成比率）决算数与年初预算数的差异原因：财政下达医疗补助资金380万元。</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5.其他社会保障和就业支出（款）其他社会保障和就业支出（项）。年初预算0万元，支出决算176.95万元，（年初预算数为0万元，无法计算完成比率）决算数与年初预算数的差异原因：财政</w:t>
      </w:r>
      <w:proofErr w:type="gramStart"/>
      <w:r>
        <w:rPr>
          <w:rFonts w:ascii="仿宋" w:eastAsia="仿宋" w:hAnsi="仿宋" w:cs="仿宋"/>
        </w:rPr>
        <w:t>下达扩面征缴</w:t>
      </w:r>
      <w:proofErr w:type="gramEnd"/>
      <w:r>
        <w:rPr>
          <w:rFonts w:ascii="仿宋" w:eastAsia="仿宋" w:hAnsi="仿宋" w:cs="仿宋"/>
        </w:rPr>
        <w:t>专项工作经费176.95万元。</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（二）卫生健康支出（类）</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1.卫生健康管理事务（款）行政运行（项）。年初预算0</w:t>
      </w:r>
      <w:r>
        <w:rPr>
          <w:rFonts w:ascii="仿宋" w:eastAsia="仿宋" w:hAnsi="仿宋" w:cs="仿宋"/>
        </w:rPr>
        <w:lastRenderedPageBreak/>
        <w:t>万元，支出决算123.5万元，（年初预算数为0万元，无法计算完成比率）决算数与年初预算数的差异原因：财政追加增人增资经费。</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2.优抚对象医疗（款）优抚对象医疗补助（项）。年初预算0万元，支出决算130.5万元，（年初预算数为0万元，无法计算完成比率）决算数与年初预算数的差异原因：财政下达医疗补助资金130.5万元。</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3.医疗保障管理事务（款）一般行政管理事务（项）。年初预算0万元，支出决算3.56万元，（年初预算数为0万元，无法计算完成比率）决算数与年初预算数的差异原因：财政下达因公出国（境）费用3.56万元。</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4.医疗保障管理事务（款）医疗保障经办事务（项）。年初预算3,023.6万元，支出决算2,767.2万元，完成年初预算的91.52%。决算数与年初预算数的差异原因：</w:t>
      </w:r>
      <w:r w:rsidR="00146DF7">
        <w:rPr>
          <w:rFonts w:ascii="仿宋" w:eastAsia="仿宋" w:hAnsi="仿宋" w:cs="仿宋" w:hint="eastAsia"/>
        </w:rPr>
        <w:t>财政追加预算时调减了不可预见支出、年中压减项目资金</w:t>
      </w:r>
      <w:r>
        <w:rPr>
          <w:rFonts w:ascii="仿宋" w:eastAsia="仿宋" w:hAnsi="仿宋" w:cs="仿宋"/>
        </w:rPr>
        <w:t>。</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医疗保障管理事务（款）事业运行（项）。年初预算0万元，支出决算1.39万元，（年初预算数为0万元，无法计算完成比率）决算数与年初预算数的差异原因：当年新增公务用车1辆，财政追加公车运行维护费1.39万元。</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6.医疗保障管理事务（款）其他医疗保障管理事务支出（项）。年初预算0万元，支出决算91.94万元，（年初预算数为0万元，无法计算完成比率）决算数与年初预算数的差异</w:t>
      </w:r>
      <w:r>
        <w:rPr>
          <w:rFonts w:ascii="仿宋" w:eastAsia="仿宋" w:hAnsi="仿宋" w:cs="仿宋"/>
        </w:rPr>
        <w:lastRenderedPageBreak/>
        <w:t>原因：财政</w:t>
      </w:r>
      <w:proofErr w:type="gramStart"/>
      <w:r>
        <w:rPr>
          <w:rFonts w:ascii="仿宋" w:eastAsia="仿宋" w:hAnsi="仿宋" w:cs="仿宋"/>
        </w:rPr>
        <w:t>下达央补资金</w:t>
      </w:r>
      <w:proofErr w:type="gramEnd"/>
      <w:r>
        <w:rPr>
          <w:rFonts w:ascii="仿宋" w:eastAsia="仿宋" w:hAnsi="仿宋" w:cs="仿宋"/>
        </w:rPr>
        <w:t>91.94万元。</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1.住房改革支出（款）住房公积金（项）。年初预算302.89万元，支出决算302.07万元，完成年初预算的99.73%。决算数与年初预算数的差异原因：在职人员增减变动。</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2.住房改革支出（款）提租补贴（项）。年初预算683.25万元，支出决算683.25万元，完成年初预算的100%。决算数与年初预算数相同。</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2024年度财政拨款基本支出决算4,111.1万元，其中：</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（一）人员经费3,368.89万元。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退休费、其他对个人和家庭的补助。</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（二）公用经费742.2万元。</w:t>
      </w:r>
      <w:r>
        <w:rPr>
          <w:rFonts w:ascii="仿宋" w:eastAsia="仿宋" w:hAnsi="仿宋" w:cs="仿宋"/>
        </w:rPr>
        <w:t>主要包括：办公费、印刷费、水费、电费、邮电费、物业管理费、差旅费、维修（护）费、租赁费、会议费、公务接待费、工会经费、福利费、公务用车运行维护费、其他交通费用、其他商品和服务支出。</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2024年度一般公共预算财政拨款支出决算5,008.2万元。</w:t>
      </w:r>
      <w:r>
        <w:rPr>
          <w:rFonts w:ascii="仿宋" w:eastAsia="仿宋" w:hAnsi="仿宋" w:cs="仿宋"/>
        </w:rPr>
        <w:lastRenderedPageBreak/>
        <w:t>与上年相比，减少192.27万元，减少3.7%，变动原因：基本支出增加2.96万元，项目支出减少195.23万元。</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2024年度一般公共预算财政拨款基本支出决算4,111.1万元，其中：</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（一）人员经费3,368.89万元。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退休费、其他对个人和家庭的补助。</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（二）公用经费742.2万元。</w:t>
      </w:r>
      <w:r>
        <w:rPr>
          <w:rFonts w:ascii="仿宋" w:eastAsia="仿宋" w:hAnsi="仿宋" w:cs="仿宋"/>
        </w:rPr>
        <w:t>主要包括：办公费、印刷费、水费、电费、邮电费、物业管理费、差旅费、维修（护）费、租赁费、会议费、公务接待费、工会经费、福利费、公务用车运行维护费、其他交通费用、其他商品和服务支出。</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九、财政拨款“三公”经费、会议费、培训费支出情况说明</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（一）财政拨款“三公”经费支出总体情况说明。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三公”经费支出决算8.74万元（其中：一般公共预算支出8.74万元；政府性基金预算支出0万元；国有资本经营预算支出0万元）。与上年相比，增加4.95万元，变动原因：一是因公出国（境）新增1人次；二是新增公务用车1辆。其中，因公出国（境）费支出3.56万元，占</w:t>
      </w:r>
      <w:r>
        <w:rPr>
          <w:rFonts w:ascii="仿宋" w:eastAsia="仿宋" w:hAnsi="仿宋" w:cs="仿宋"/>
        </w:rPr>
        <w:lastRenderedPageBreak/>
        <w:t>“三公”经费的40.73%；公务用车购置及运行维护费支出4.18万元，占“三公”经费的47.83%；公务接待费支出1万元，占“三公”经费的11.44%。2024年度财政拨款“三公”经费支出预算8.88万元（其中：一般公共预算支出8.88万元；政府性基金预算支出0万元；国有资本经营预算支出0万元）。决算数与预算数的差异原因：公车运行维护费略有结余。</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（二）财政拨款“三公”经费支出具体情况说明。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支出预算3.56万元（其中：一般公共预算支出3.56万元；政府性基金预算支出0万元；国有资本经营预算支出0万元），支出决算3.56万元（其中：一般公共预算支出3.56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的100%，决算数与预算数相同。全年使用财政拨款涉及的出国（境）团组0个，累计1人次。开支内容：一次参团出国费用。</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支出预算4.32万元（其中：一般公共预算支出4.32万元；政府性基金预算支出0万元；国有资本经营预算支出0万元），支出决算4.18万元（其中：一般公共预算支出4.18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的96.76%，决算数与预算数的差异原因：公务用车运行维护费略有结余。其中：</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（1）公务用车购置支出决算0万元。本年度使用财政拨款</w:t>
      </w:r>
      <w:r>
        <w:rPr>
          <w:rFonts w:ascii="仿宋" w:eastAsia="仿宋" w:hAnsi="仿宋" w:cs="仿宋"/>
        </w:rPr>
        <w:lastRenderedPageBreak/>
        <w:t>购置公务用车0辆。</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支出决算4.18万元。公务用车运行维护费主要用于按规定保留的公务用车的燃料费、维修费、过桥过路费、保险费、安全奖励费用等支出。截至2024年12月31日，使用财政拨款开支的公务用车保有量为2辆。</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支出预算1万元（其中：一般公共预算支出1万元；政府性基金预算支出0万元；国有资本经营预算支出0万元），支出决算1万元（其中：一般公共预算支出1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的100%，决算数与预算数相同。其中：国内公务接待支出1万元，接待3批次，41人次，开支内容：国内公务接待；国（境）外公务接待支出0万元，接待0批次，0人次。</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会议费支出预算1万元（其中：一般公共预算支出1万元；政府性基金预算支出0万元；国有资本经营预算支出0万元），支出决算0.85万元（其中：一般公共预算支出0.85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的85%，决算数与预算数的差异原因：为认真落实过紧日子要求尽量减少线下会议。2024年度全年召开会议1个，参加会议53人次，开支内容：召开三类会议。</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（四）财政拨款培训费支出决算情况说明。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培训费支出预算11.26万元（其中：一般公共预算支出11.26万元；政府性基金预算支出0万元；国有资本经营预算支出0万元），支出决算9.26万元（其中：一般公共预算支出9.26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的82.24%，决算数与预算数的差异原因：为认真落实过紧日子要求，尽量开展线上培训，减少线下培训。2024年度全年组织培训5个，组织培训1314人次，开支内容：开展线上、线下培训。</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2024年度政府性基金预算财政拨款支出决算0万元。与上年决算数相同。</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2024年度国有资本经营预算财政拨款支出决算0万元。与上年决算数相同。</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机关运行经费支出决算742.2万元（其中：一般公共预算支出742.2万元；政府性基金预算支出0万元；国有资本经营预算支出0万元）。与上年相比，增加245.1万元，增长49.31%，变动原因：2024年办公用房租赁费、</w:t>
      </w:r>
      <w:proofErr w:type="gramStart"/>
      <w:r>
        <w:rPr>
          <w:rFonts w:ascii="仿宋" w:eastAsia="仿宋" w:hAnsi="仿宋" w:cs="仿宋"/>
        </w:rPr>
        <w:t>物业费</w:t>
      </w:r>
      <w:proofErr w:type="gramEnd"/>
      <w:r>
        <w:rPr>
          <w:rFonts w:ascii="仿宋" w:eastAsia="仿宋" w:hAnsi="仿宋" w:cs="仿宋"/>
        </w:rPr>
        <w:t>由项目经费列支改从基本支出列支。</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2024年度政府采购支出总额381.63万元，其中：政府采购货物支出9.34万元、政府采购工程支出0万元、政府采购服务支出372.29万元。政府采购授予中小企业合同金额0万元，占政府采购支出总额的0%，其中：授予小</w:t>
      </w:r>
      <w:proofErr w:type="gramStart"/>
      <w:r>
        <w:rPr>
          <w:rFonts w:ascii="仿宋" w:eastAsia="仿宋" w:hAnsi="仿宋" w:cs="仿宋"/>
        </w:rPr>
        <w:t>微企业</w:t>
      </w:r>
      <w:proofErr w:type="gramEnd"/>
      <w:r>
        <w:rPr>
          <w:rFonts w:ascii="仿宋" w:eastAsia="仿宋" w:hAnsi="仿宋" w:cs="仿宋"/>
        </w:rPr>
        <w:t>合同金额0万元。</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2024年12月31日，本单位共有车辆2辆，其中：副部(省)级及以上领导用车0辆、主要领导干部用车0辆、机要通信用车0辆、应急保障用车0辆、执法执勤用车2辆、特种专业技术用车0辆、离退休干部用车0辆、其他用车0辆；单价100万元（含）以上的设备0台（套）。</w:t>
      </w:r>
    </w:p>
    <w:p w:rsidR="00F03B22" w:rsidRDefault="00F74FDD" w:rsidP="00F74F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2024年度，本单位共0个项目开展了财政重点绩效评价，涉及财政性资金合计0万元；本单位未开展单位整体支出财政重点绩效评价，涉及财政性资金0万元。</w:t>
      </w:r>
    </w:p>
    <w:p w:rsidR="00F03B22" w:rsidRDefault="00F74FD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rPr>
      </w:pPr>
      <w:r>
        <w:rPr>
          <w:rFonts w:ascii="仿宋" w:eastAsia="仿宋" w:hAnsi="仿宋" w:cs="仿宋"/>
        </w:rPr>
        <w:t>本单位共对上年度已实施完成的8个项目开展了绩效自评价，涉及财政性资金合计12,58</w:t>
      </w:r>
      <w:r w:rsidR="002076CA">
        <w:rPr>
          <w:rFonts w:ascii="仿宋" w:eastAsia="仿宋" w:hAnsi="仿宋" w:cs="仿宋" w:hint="eastAsia"/>
        </w:rPr>
        <w:t>3.1</w:t>
      </w:r>
      <w:r>
        <w:rPr>
          <w:rFonts w:ascii="仿宋" w:eastAsia="仿宋" w:hAnsi="仿宋" w:cs="仿宋"/>
        </w:rPr>
        <w:t>万元；本单位共开展1项单位整体支出绩效自评价，涉及财政性资金合计130,694.2万元。</w:t>
      </w:r>
    </w:p>
    <w:p w:rsidR="004D20D0" w:rsidRDefault="004D20D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bookmarkStart w:id="0" w:name="_GoBack"/>
      <w:bookmarkEnd w:id="0"/>
    </w:p>
    <w:p w:rsidR="00F03B22" w:rsidRDefault="00F74FDD">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 名词</w:t>
      </w:r>
      <w:r>
        <w:rPr>
          <w:rFonts w:ascii="宋体" w:eastAsia="宋体" w:hAnsi="宋体" w:cs="宋体" w:hint="eastAsia"/>
          <w:b/>
          <w:bCs/>
          <w:color w:val="000000"/>
          <w:lang w:eastAsia="ar-SA"/>
        </w:rPr>
        <w:t>解释</w:t>
      </w:r>
    </w:p>
    <w:p w:rsidR="00F03B22" w:rsidRDefault="00F03B22">
      <w:pPr>
        <w:pStyle w:val="a4"/>
        <w:tabs>
          <w:tab w:val="left" w:pos="3864"/>
          <w:tab w:val="left" w:pos="6248"/>
          <w:tab w:val="left" w:pos="7386"/>
        </w:tabs>
        <w:ind w:leftChars="200" w:left="440" w:firstLineChars="206" w:firstLine="659"/>
        <w:jc w:val="both"/>
        <w:rPr>
          <w:rFonts w:ascii="仿宋" w:eastAsia="仿宋" w:hAnsi="仿宋" w:cs="仿宋"/>
        </w:rPr>
      </w:pP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w:t>
      </w:r>
      <w:r>
        <w:rPr>
          <w:rFonts w:ascii="仿宋" w:eastAsia="仿宋" w:hAnsi="仿宋" w:cs="仿宋" w:hint="eastAsia"/>
        </w:rPr>
        <w:lastRenderedPageBreak/>
        <w:t>政</w:t>
      </w:r>
      <w:proofErr w:type="gramEnd"/>
      <w:r>
        <w:rPr>
          <w:rFonts w:ascii="仿宋" w:eastAsia="仿宋" w:hAnsi="仿宋" w:cs="仿宋" w:hint="eastAsia"/>
        </w:rPr>
        <w:t>拨款，包括一般公共预算财政拨款、政府性基金预算财政拨款、国有资本经营预算财政拨款。</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 “上级补助收入”、“事业收入”、“经营收入”、“附属单位上缴收入”等以外的各项收入。</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w:t>
      </w:r>
      <w:r>
        <w:rPr>
          <w:rFonts w:ascii="仿宋" w:eastAsia="仿宋" w:hAnsi="仿宋" w:cs="仿宋" w:hint="eastAsia"/>
        </w:rPr>
        <w:lastRenderedPageBreak/>
        <w:t>财政拨款结余中提取各类结余的情况。</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w:t>
      </w:r>
      <w:r>
        <w:rPr>
          <w:rFonts w:ascii="仿宋" w:eastAsia="仿宋" w:hAnsi="仿宋" w:cs="仿宋" w:hint="eastAsia"/>
        </w:rPr>
        <w:lastRenderedPageBreak/>
        <w:t>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十九、社会保障和就业支出(类)行政事业单位养老支出(款)行政单位离退休(项)</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二十二、社会保障和就业支出(类)社会福利(款)其他社会福利支出(项)</w:t>
      </w:r>
      <w:r>
        <w:rPr>
          <w:rFonts w:ascii="仿宋" w:eastAsia="仿宋" w:hAnsi="仿宋" w:cs="仿宋"/>
          <w:b/>
        </w:rPr>
        <w:t>：</w:t>
      </w:r>
      <w:r>
        <w:rPr>
          <w:rFonts w:ascii="仿宋" w:eastAsia="仿宋" w:hAnsi="仿宋" w:cs="仿宋" w:hint="eastAsia"/>
        </w:rPr>
        <w:t>反映除上述项目以外其他用于社会福利方面的支出。</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二十三、社会保障和就业支出(类)其他社会保障和就业支出(款)其他社会保障和就业支出(项)</w:t>
      </w:r>
      <w:r>
        <w:rPr>
          <w:rFonts w:ascii="仿宋" w:eastAsia="仿宋" w:hAnsi="仿宋" w:cs="仿宋"/>
          <w:b/>
        </w:rPr>
        <w:t>：</w:t>
      </w:r>
      <w:r>
        <w:rPr>
          <w:rFonts w:ascii="仿宋" w:eastAsia="仿宋" w:hAnsi="仿宋" w:cs="仿宋" w:hint="eastAsia"/>
        </w:rPr>
        <w:t>反映除上述项目以外其他用于社会保障和就业方面的支出。</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二十四、卫生健康支出(类)卫生健康管理事务(款)行政运</w:t>
      </w:r>
      <w:r>
        <w:rPr>
          <w:rFonts w:ascii="仿宋" w:eastAsia="仿宋" w:hAnsi="仿宋" w:cs="仿宋" w:hint="eastAsia"/>
          <w:b/>
          <w:bCs/>
        </w:rPr>
        <w:lastRenderedPageBreak/>
        <w:t>行(项)</w:t>
      </w:r>
      <w:r>
        <w:rPr>
          <w:rFonts w:ascii="仿宋" w:eastAsia="仿宋" w:hAnsi="仿宋" w:cs="仿宋"/>
          <w:b/>
        </w:rPr>
        <w:t>：</w:t>
      </w:r>
      <w:r>
        <w:rPr>
          <w:rFonts w:ascii="仿宋" w:eastAsia="仿宋" w:hAnsi="仿宋" w:cs="仿宋" w:hint="eastAsia"/>
        </w:rPr>
        <w:t>反映行政单位（包括实行公务员管理的事业单位）的基本支出。</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二十五、卫生健康支出(类)优抚对象医疗(款)优抚对象医疗补助(项)</w:t>
      </w:r>
      <w:r>
        <w:rPr>
          <w:rFonts w:ascii="仿宋" w:eastAsia="仿宋" w:hAnsi="仿宋" w:cs="仿宋"/>
          <w:b/>
        </w:rPr>
        <w:t>：</w:t>
      </w:r>
      <w:r>
        <w:rPr>
          <w:rFonts w:ascii="仿宋" w:eastAsia="仿宋" w:hAnsi="仿宋" w:cs="仿宋" w:hint="eastAsia"/>
        </w:rPr>
        <w:t>反映按规定补助优抚对象的医疗经费。</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二十六、卫生健康支出(类)医疗保障管理事务(款)一般行政管理事务(项)</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二十七、卫生健康支出(类)医疗保障管理事务(款)医疗保障经办事务(项)</w:t>
      </w:r>
      <w:r>
        <w:rPr>
          <w:rFonts w:ascii="仿宋" w:eastAsia="仿宋" w:hAnsi="仿宋" w:cs="仿宋"/>
          <w:b/>
        </w:rPr>
        <w:t>：</w:t>
      </w:r>
      <w:r>
        <w:rPr>
          <w:rFonts w:ascii="仿宋" w:eastAsia="仿宋" w:hAnsi="仿宋" w:cs="仿宋" w:hint="eastAsia"/>
        </w:rPr>
        <w:t>反映</w:t>
      </w:r>
      <w:proofErr w:type="gramStart"/>
      <w:r>
        <w:rPr>
          <w:rFonts w:ascii="仿宋" w:eastAsia="仿宋" w:hAnsi="仿宋" w:cs="仿宋" w:hint="eastAsia"/>
        </w:rPr>
        <w:t>医</w:t>
      </w:r>
      <w:proofErr w:type="gramEnd"/>
      <w:r>
        <w:rPr>
          <w:rFonts w:ascii="仿宋" w:eastAsia="仿宋" w:hAnsi="仿宋" w:cs="仿宋" w:hint="eastAsia"/>
        </w:rPr>
        <w:t>保基金核算、精算、参保登记、权益记录、转移接续等医疗保障经办支出。</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二十八、卫生健康支出(类)医疗保障管理事务(款)事业运行(项)</w:t>
      </w:r>
      <w:r>
        <w:rPr>
          <w:rFonts w:ascii="仿宋" w:eastAsia="仿宋" w:hAnsi="仿宋" w:cs="仿宋"/>
          <w:b/>
        </w:rPr>
        <w:t>：</w:t>
      </w:r>
      <w:r>
        <w:rPr>
          <w:rFonts w:ascii="仿宋" w:eastAsia="仿宋" w:hAnsi="仿宋" w:cs="仿宋" w:hint="eastAsia"/>
        </w:rPr>
        <w:t>反映事业单位的基本支出，不包括行政单位（包括实行公务员管理的事业单位）后勤服务中心、医务室等附属事业单位。</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二十九、卫生健康支出(类)医疗保障管理事务(款)其他医疗保障管理事务支出(项)</w:t>
      </w:r>
      <w:r>
        <w:rPr>
          <w:rFonts w:ascii="仿宋" w:eastAsia="仿宋" w:hAnsi="仿宋" w:cs="仿宋"/>
          <w:b/>
        </w:rPr>
        <w:t>：</w:t>
      </w:r>
      <w:r>
        <w:rPr>
          <w:rFonts w:ascii="仿宋" w:eastAsia="仿宋" w:hAnsi="仿宋" w:cs="仿宋" w:hint="eastAsia"/>
        </w:rPr>
        <w:t>反映除上述项目以外的其他用于医疗保障管理事务方面的支出。</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F03B22" w:rsidRDefault="00F74FD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三十一、住房保障支出(类)住房改革支出(款)提租补贴</w:t>
      </w:r>
      <w:r>
        <w:rPr>
          <w:rFonts w:ascii="仿宋" w:eastAsia="仿宋" w:hAnsi="仿宋" w:cs="仿宋" w:hint="eastAsia"/>
          <w:b/>
          <w:bCs/>
        </w:rPr>
        <w:lastRenderedPageBreak/>
        <w:t>(项)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F03B22">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6B3" w:rsidRDefault="00F74FDD">
      <w:r>
        <w:separator/>
      </w:r>
    </w:p>
  </w:endnote>
  <w:endnote w:type="continuationSeparator" w:id="0">
    <w:p w:rsidR="00C736B3" w:rsidRDefault="00F7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2" w:rsidRDefault="00F74FDD">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03B22" w:rsidRDefault="00F74FDD">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4D20D0">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F03B22" w:rsidRDefault="00F74FDD">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4D20D0">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2" w:rsidRDefault="00F74FDD">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- 26 -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- 26 -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2" w:rsidRDefault="00F74FDD">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- 27 -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- 27 -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2" w:rsidRDefault="00F74FDD">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- 29 -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- 29 -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2" w:rsidRDefault="00F74FDD">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- 48 -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- 48 -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2" w:rsidRDefault="00F74FDD">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03B22" w:rsidRDefault="00F74FDD">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4D20D0">
                            <w:rPr>
                              <w:rFonts w:ascii="黑体" w:eastAsia="黑体" w:hAnsi="黑体" w:cs="黑体"/>
                              <w:noProof/>
                            </w:rPr>
                            <w:t>- 9 -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F03B22" w:rsidRDefault="00F74FDD">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4D20D0">
                      <w:rPr>
                        <w:rFonts w:ascii="黑体" w:eastAsia="黑体" w:hAnsi="黑体" w:cs="黑体"/>
                        <w:noProof/>
                      </w:rPr>
                      <w:t>- 9 -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2" w:rsidRDefault="00F74FDD">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- 11 -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- 11 -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2" w:rsidRDefault="00F74FDD">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- 13 -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- 13 -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2" w:rsidRDefault="00F74FDD">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- 15 -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- 15 -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2" w:rsidRDefault="00F74FDD">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- 17 -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- 17 -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2" w:rsidRDefault="00F74FDD">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- 19 -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- 19 -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2" w:rsidRDefault="00F74FDD">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- 22 -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- 22 -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2" w:rsidRDefault="00F74FDD">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- 23 -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F03B22" w:rsidRDefault="00F74FDD">
                    <w:pPr>
                      <w:pStyle w:val="a5"/>
                    </w:pPr>
                    <w:r>
                      <w:rPr>
                        <w:rFonts w:hint="eastAsia"/>
                      </w:rPr>
                      <w:fldChar w:fldCharType="begin"/>
                    </w:r>
                    <w:r>
                      <w:rPr>
                        <w:rFonts w:hint="eastAsia"/>
                      </w:rPr>
                      <w:instrText xml:space="preserve"> PAGE  \* MERGEFORMAT </w:instrText>
                    </w:r>
                    <w:r>
                      <w:rPr>
                        <w:rFonts w:hint="eastAsia"/>
                      </w:rPr>
                      <w:fldChar w:fldCharType="separate"/>
                    </w:r>
                    <w:r w:rsidR="004D20D0">
                      <w:rPr>
                        <w:noProof/>
                      </w:rPr>
                      <w:t>- 23 -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6B3" w:rsidRDefault="00F74FDD">
      <w:r>
        <w:separator/>
      </w:r>
    </w:p>
  </w:footnote>
  <w:footnote w:type="continuationSeparator" w:id="0">
    <w:p w:rsidR="00C736B3" w:rsidRDefault="00F74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2" w:rsidRDefault="00F74FDD">
    <w:pPr>
      <w:pStyle w:val="a6"/>
      <w:pBdr>
        <w:bottom w:val="single" w:sz="4" w:space="1" w:color="000000"/>
      </w:pBdr>
      <w:jc w:val="both"/>
      <w:rPr>
        <w:lang w:val="en-US"/>
      </w:rPr>
    </w:pPr>
    <w:r>
      <w:rPr>
        <w:rFonts w:hint="eastAsia"/>
        <w:lang w:val="en-US"/>
      </w:rPr>
      <w:t>南京市医疗保险管理中心2024年度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2" w:rsidRDefault="00F03B22">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4098"/>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46DF7"/>
    <w:rsid w:val="001A3522"/>
    <w:rsid w:val="001C31F9"/>
    <w:rsid w:val="001D7787"/>
    <w:rsid w:val="002076CA"/>
    <w:rsid w:val="002E63B1"/>
    <w:rsid w:val="00407CA7"/>
    <w:rsid w:val="00413AD8"/>
    <w:rsid w:val="004743E0"/>
    <w:rsid w:val="004C0647"/>
    <w:rsid w:val="004D20D0"/>
    <w:rsid w:val="00671ED7"/>
    <w:rsid w:val="00672164"/>
    <w:rsid w:val="006732F1"/>
    <w:rsid w:val="006B0ED5"/>
    <w:rsid w:val="006E012F"/>
    <w:rsid w:val="007C0F2D"/>
    <w:rsid w:val="008322BB"/>
    <w:rsid w:val="00867423"/>
    <w:rsid w:val="008B5B05"/>
    <w:rsid w:val="009965EA"/>
    <w:rsid w:val="00A6752E"/>
    <w:rsid w:val="00B92181"/>
    <w:rsid w:val="00BD7F33"/>
    <w:rsid w:val="00C15920"/>
    <w:rsid w:val="00C736B3"/>
    <w:rsid w:val="00C82582"/>
    <w:rsid w:val="00CF349C"/>
    <w:rsid w:val="00F03B22"/>
    <w:rsid w:val="00F74FDD"/>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1A3522"/>
    <w:rPr>
      <w:sz w:val="18"/>
      <w:szCs w:val="18"/>
    </w:rPr>
  </w:style>
  <w:style w:type="character" w:customStyle="1" w:styleId="Char">
    <w:name w:val="批注框文本 Char"/>
    <w:basedOn w:val="a0"/>
    <w:link w:val="af2"/>
    <w:rsid w:val="001A3522"/>
    <w:rPr>
      <w:rFonts w:ascii="Arial Unicode MS" w:eastAsia="Arial Unicode MS" w:hAnsi="Arial Unicode MS" w:cs="Arial Unicode MS"/>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1A3522"/>
    <w:rPr>
      <w:sz w:val="18"/>
      <w:szCs w:val="18"/>
    </w:rPr>
  </w:style>
  <w:style w:type="character" w:customStyle="1" w:styleId="Char">
    <w:name w:val="批注框文本 Char"/>
    <w:basedOn w:val="a0"/>
    <w:link w:val="af2"/>
    <w:rsid w:val="001A3522"/>
    <w:rPr>
      <w:rFonts w:ascii="Arial Unicode MS" w:eastAsia="Arial Unicode MS" w:hAnsi="Arial Unicode MS" w:cs="Arial Unicode MS"/>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49</Pages>
  <Words>16986</Words>
  <Characters>7865</Characters>
  <Application>Microsoft Office Word</Application>
  <DocSecurity>0</DocSecurity>
  <Lines>65</Lines>
  <Paragraphs>49</Paragraphs>
  <ScaleCrop>false</ScaleCrop>
  <Company/>
  <LinksUpToDate>false</LinksUpToDate>
  <CharactersWithSpaces>24802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Lenovo</cp:lastModifiedBy>
  <cp:revision>6</cp:revision>
  <cp:lastPrinted>2025-09-28T01:11:00Z</cp:lastPrinted>
  <dcterms:created xsi:type="dcterms:W3CDTF">2025-09-25T01:58:00Z</dcterms:created>
  <dcterms:modified xsi:type="dcterms:W3CDTF">2025-09-28T01:28:00Z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