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rPr>
          <w:rFonts w:ascii="Times New Roman" w:eastAsia="仿宋_GB2312" w:cs="Times New Roman" w:hAnsi="Times New Roman"/>
          <w:sz w:val="32"/>
          <w:szCs w:val="32"/>
        </w:rPr>
      </w:pPr>
    </w:p>
    <w:p>
      <w:pPr>
        <w:spacing w:line="560" w:lineRule="exact"/>
        <w:rPr>
          <w:rFonts w:ascii="Times New Roman" w:eastAsia="仿宋_GB2312" w:cs="Times New Roman" w:hAnsi="Times New Roman"/>
          <w:sz w:val="32"/>
          <w:szCs w:val="32"/>
        </w:rPr>
      </w:pPr>
      <w:r>
        <w:rPr>
          <w:rFonts w:ascii="Times New Roman" w:eastAsia="仿宋_GB2312" w:cs="Times New Roman" w:hAnsi="Times New Roman"/>
          <w:sz w:val="32"/>
          <w:szCs w:val="32"/>
        </w:rPr>
        <w:t>各医保分局、各区卫生健康委员会，江北新区教育和社会保障局、卫生健康和民政局，各相关医疗机构：</w:t>
      </w:r>
    </w:p>
    <w:p>
      <w:pPr>
        <w:spacing w:line="560" w:lineRule="exact"/>
        <w:ind w:firstLine="630"/>
        <w:rPr>
          <w:rFonts w:ascii="Times New Roman" w:eastAsia="仿宋_GB2312" w:cs="Times New Roman" w:hAnsi="Times New Roman"/>
          <w:sz w:val="32"/>
          <w:szCs w:val="32"/>
        </w:rPr>
      </w:pPr>
      <w:r>
        <w:rPr>
          <w:rFonts w:ascii="Times New Roman" w:eastAsia="仿宋_GB2312" w:cs="Times New Roman" w:hAnsi="Times New Roman"/>
          <w:sz w:val="32"/>
          <w:szCs w:val="32"/>
        </w:rPr>
        <w:t>为贯彻《江苏省医疗保障局 江苏省卫生健康委员会关于调整部分临床诊疗类医疗服务项目价格的通知》（苏医保发〔2022〕6号），结合我市实际，现将有关事项通知如下：</w:t>
      </w:r>
    </w:p>
    <w:p>
      <w:pPr>
        <w:spacing w:line="560" w:lineRule="exact"/>
        <w:ind w:firstLineChars="221" w:firstLine="707"/>
        <w:rPr>
          <w:rFonts w:ascii="Times New Roman" w:eastAsia="仿宋_GB2312" w:cs="Times New Roman" w:hAnsi="Times New Roman"/>
          <w:sz w:val="32"/>
          <w:szCs w:val="32"/>
        </w:rPr>
      </w:pPr>
      <w:r>
        <w:rPr>
          <w:rFonts w:ascii="Times New Roman" w:eastAsia="仿宋_GB2312" w:cs="Times New Roman" w:hAnsi="Times New Roman"/>
          <w:sz w:val="32"/>
          <w:szCs w:val="32"/>
        </w:rPr>
        <w:t>一、调整部分临床诊疗类医疗服务项目价格。按照与二类医院比价合理的原则，调整一类医疗机构部分项目价格。</w:t>
      </w:r>
    </w:p>
    <w:p>
      <w:pPr>
        <w:spacing w:line="560" w:lineRule="exact"/>
        <w:ind w:firstLineChars="221" w:firstLine="707"/>
        <w:rPr>
          <w:rFonts w:ascii="Times New Roman" w:eastAsia="仿宋_GB2312" w:cs="Times New Roman" w:hAnsi="Times New Roman"/>
          <w:sz w:val="32"/>
          <w:szCs w:val="32"/>
        </w:rPr>
      </w:pPr>
      <w:r>
        <w:rPr>
          <w:rFonts w:ascii="Times New Roman" w:eastAsia="仿宋_GB2312" w:cs="Times New Roman" w:hAnsi="Times New Roman"/>
          <w:sz w:val="32"/>
          <w:szCs w:val="32"/>
        </w:rPr>
        <w:t>二、提高生育保险待遇。职工生育保险参保人员在三级医疗机构发生的符合生育保险支付范围的医疗费用，顺产3000元（含，下同）、助娩产3200元、剖宫产4500元以下的费用，由生育保险基金全部支付；顺产3001-5000元、助娩产3201-6000元、剖宫产4501-7000元之间的费用，基金支付比例为95%；顺产5001元、助娩产6001元、剖宫产7001元以上的费用，基金支付比例为85%；二级及以下医疗机构发生的符合生育保险支付范围的医疗费用，由生育保险基金全部支付。城乡居民基本医疗保险参保人员住院分娩发生的基金支付范围的医疗费用，三级医疗机构基金支付比例为</w:t>
      </w:r>
      <w:r>
        <w:rPr>
          <w:rFonts w:ascii="Times New Roman" w:eastAsia="仿宋_GB2312" w:cs="Times New Roman" w:hAnsi="Times New Roman" w:hint="eastAsia"/>
          <w:sz w:val="32"/>
          <w:szCs w:val="32"/>
        </w:rPr>
        <w:t>80</w:t>
      </w:r>
      <w:r>
        <w:rPr>
          <w:rFonts w:ascii="Times New Roman" w:eastAsia="仿宋_GB2312" w:cs="Times New Roman" w:hAnsi="Times New Roman"/>
          <w:sz w:val="32"/>
          <w:szCs w:val="32"/>
        </w:rPr>
        <w:t>%，二级医疗机构基金支付比例为8</w:t>
      </w:r>
      <w:r>
        <w:rPr>
          <w:rFonts w:ascii="Times New Roman" w:eastAsia="仿宋_GB2312" w:cs="Times New Roman" w:hAnsi="Times New Roman" w:hint="eastAsia"/>
          <w:sz w:val="32"/>
          <w:szCs w:val="32"/>
        </w:rPr>
        <w:t>5</w:t>
      </w:r>
      <w:r>
        <w:rPr>
          <w:rFonts w:ascii="Times New Roman" w:eastAsia="仿宋_GB2312" w:cs="Times New Roman" w:hAnsi="Times New Roman"/>
          <w:sz w:val="32"/>
          <w:szCs w:val="32"/>
        </w:rPr>
        <w:t>%，一级及以下医疗机构基金支付比例为90%。</w:t>
      </w:r>
    </w:p>
    <w:p>
      <w:pPr>
        <w:spacing w:line="560" w:lineRule="exact"/>
        <w:ind w:firstLineChars="221" w:firstLine="707"/>
        <w:rPr>
          <w:rFonts w:ascii="Times New Roman" w:eastAsia="仿宋_GB2312" w:cs="Times New Roman" w:hAnsi="Times New Roman"/>
          <w:sz w:val="32"/>
          <w:szCs w:val="32"/>
        </w:rPr>
      </w:pPr>
      <w:r>
        <w:rPr>
          <w:rFonts w:ascii="Times New Roman" w:eastAsia="仿宋_GB2312" w:cs="Times New Roman" w:hAnsi="Times New Roman"/>
          <w:sz w:val="32"/>
          <w:szCs w:val="32"/>
        </w:rPr>
        <w:t>三、非公立定点医疗机构医疗服务项目价格实行自主定价，医疗服务项目价格高于公立医疗机构的，医保支付参照同等级公立医疗机构价格执行；医疗服务项目价格低于公立医疗机构的，医保支付按实际价格执行。</w:t>
      </w:r>
    </w:p>
    <w:p>
      <w:pPr>
        <w:spacing w:line="560" w:lineRule="exact"/>
        <w:ind w:firstLineChars="221" w:firstLine="707"/>
        <w:rPr>
          <w:rFonts w:ascii="Times New Roman" w:eastAsia="仿宋_GB2312" w:cs="Times New Roman" w:hAnsi="Times New Roman"/>
          <w:sz w:val="32"/>
          <w:szCs w:val="32"/>
        </w:rPr>
      </w:pPr>
      <w:r>
        <w:rPr>
          <w:rFonts w:ascii="Times New Roman" w:eastAsia="仿宋_GB2312" w:cs="Times New Roman" w:hAnsi="Times New Roman"/>
          <w:sz w:val="32"/>
          <w:szCs w:val="32"/>
        </w:rPr>
        <w:t>四、对于DRG付费住院病例的</w:t>
      </w:r>
      <w:r>
        <w:rPr>
          <w:rFonts w:ascii="Times New Roman" w:eastAsia="仿宋_GB2312" w:cs="Times New Roman" w:hAnsi="Times New Roman" w:hint="eastAsia"/>
          <w:sz w:val="32"/>
          <w:szCs w:val="32"/>
        </w:rPr>
        <w:t>本次</w:t>
      </w:r>
      <w:r>
        <w:rPr>
          <w:rFonts w:ascii="Times New Roman" w:eastAsia="仿宋_GB2312" w:cs="Times New Roman" w:hAnsi="Times New Roman"/>
          <w:sz w:val="32"/>
          <w:szCs w:val="32"/>
        </w:rPr>
        <w:t>医疗服务项目价格调整部分，结合药品耗材集采降价、国谈药“双通道”管理的抗肿瘤药品及单独支付药品等，在年终决算时一并予以统筹考虑。生育保险病种结算标准调整政策另行制定。</w:t>
      </w:r>
    </w:p>
    <w:p>
      <w:pPr>
        <w:spacing w:line="560" w:lineRule="exact"/>
        <w:ind w:firstLineChars="221" w:firstLine="707"/>
        <w:rPr>
          <w:rFonts w:ascii="Times New Roman" w:eastAsia="仿宋_GB2312" w:cs="Times New Roman" w:hAnsi="Times New Roman"/>
          <w:sz w:val="32"/>
          <w:szCs w:val="32"/>
        </w:rPr>
      </w:pPr>
      <w:r>
        <w:rPr>
          <w:rFonts w:ascii="Times New Roman" w:eastAsia="仿宋_GB2312" w:cs="Times New Roman" w:hAnsi="Times New Roman"/>
          <w:sz w:val="32"/>
          <w:szCs w:val="32"/>
        </w:rPr>
        <w:t>五、市医保中心要及时做好医保对接工作。各级卫生健康部门要加强对公立医疗机构的综合监管。各相关医疗机构要强化内部管理，及时做好收费信息系统维护及相关项目价格调整工作，加强临床路径管理，规范医疗服务收费行为，控制医疗费用不合理增长。</w:t>
      </w:r>
    </w:p>
    <w:p>
      <w:pPr>
        <w:spacing w:line="560" w:lineRule="exact"/>
        <w:ind w:firstLine="630"/>
        <w:rPr>
          <w:rFonts w:ascii="Times New Roman" w:eastAsia="仿宋_GB2312" w:cs="Times New Roman" w:hAnsi="Times New Roman"/>
          <w:sz w:val="32"/>
          <w:szCs w:val="32"/>
        </w:rPr>
      </w:pPr>
      <w:r>
        <w:rPr>
          <w:rFonts w:ascii="Times New Roman" w:eastAsia="仿宋_GB2312" w:cs="Times New Roman" w:hAnsi="Times New Roman"/>
          <w:sz w:val="32"/>
          <w:szCs w:val="32"/>
        </w:rPr>
        <w:t>本通知自2022年3月1日起执行。</w:t>
      </w:r>
    </w:p>
    <w:p>
      <w:pPr>
        <w:spacing w:line="560" w:lineRule="exact"/>
        <w:ind w:firstLine="630"/>
        <w:rPr>
          <w:rFonts w:ascii="Times New Roman" w:eastAsia="仿宋_GB2312" w:cs="Times New Roman" w:hAnsi="Times New Roman"/>
          <w:sz w:val="32"/>
          <w:szCs w:val="32"/>
        </w:rPr>
      </w:pPr>
    </w:p>
    <w:p>
      <w:pPr>
        <w:spacing w:line="560" w:lineRule="exact"/>
        <w:ind w:firstLine="630"/>
        <w:rPr>
          <w:rFonts w:ascii="Times New Roman" w:eastAsia="仿宋_GB2312" w:cs="Times New Roman" w:hAnsi="Times New Roman"/>
          <w:sz w:val="32"/>
          <w:szCs w:val="32"/>
        </w:rPr>
      </w:pPr>
      <w:r>
        <w:rPr>
          <w:rFonts w:ascii="Times New Roman" w:eastAsia="仿宋_GB2312" w:cs="Times New Roman" w:hAnsi="Times New Roman"/>
          <w:sz w:val="32"/>
          <w:szCs w:val="32"/>
        </w:rPr>
        <w:t>附件：调整部分临床诊疗类医疗服务项目价格</w:t>
      </w:r>
    </w:p>
    <w:p>
      <w:pPr>
        <w:spacing w:line="560" w:lineRule="exact"/>
        <w:ind w:firstLine="709"/>
        <w:rPr>
          <w:rFonts w:ascii="Times New Roman" w:eastAsia="仿宋_GB2312" w:cs="Times New Roman" w:hAnsi="Times New Roman"/>
          <w:sz w:val="32"/>
          <w:szCs w:val="32"/>
          <w:highlight w:val="yellow"/>
        </w:rPr>
      </w:pPr>
    </w:p>
    <w:p>
      <w:pPr>
        <w:spacing w:line="560" w:lineRule="exact"/>
        <w:ind w:firstLine="709"/>
        <w:rPr>
          <w:rFonts w:ascii="Times New Roman" w:eastAsia="仿宋_GB2312" w:cs="Times New Roman" w:hAnsi="Times New Roman"/>
          <w:sz w:val="32"/>
          <w:szCs w:val="32"/>
        </w:rPr>
      </w:pPr>
    </w:p>
    <w:p>
      <w:pPr>
        <w:spacing w:line="560" w:lineRule="exact"/>
        <w:ind w:firstLine="709"/>
        <w:rPr>
          <w:rFonts w:ascii="Times New Roman" w:eastAsia="仿宋_GB2312" w:cs="Times New Roman" w:hAnsi="Times New Roman"/>
          <w:sz w:val="32"/>
          <w:szCs w:val="32"/>
        </w:rPr>
      </w:pPr>
    </w:p>
    <w:p>
      <w:pPr>
        <w:spacing w:line="560" w:lineRule="exact"/>
        <w:ind w:firstLine="709"/>
        <w:rPr>
          <w:rFonts w:ascii="Times New Roman" w:eastAsia="仿宋_GB2312" w:cs="Times New Roman" w:hAnsi="Times New Roman"/>
          <w:sz w:val="32"/>
          <w:szCs w:val="32"/>
        </w:rPr>
      </w:pPr>
      <w:r>
        <w:rPr>
          <w:rFonts w:ascii="Times New Roman" w:eastAsia="仿宋_GB2312" w:cs="Times New Roman" w:hAnsi="Times New Roman"/>
          <w:sz w:val="32"/>
          <w:szCs w:val="32"/>
        </w:rPr>
        <w:t>南京市医疗保障局           南京市卫生健康委员会</w:t>
      </w:r>
    </w:p>
    <w:p>
      <w:pPr>
        <w:spacing w:line="560" w:lineRule="exact"/>
        <w:ind w:firstLine="709"/>
        <w:rPr>
          <w:rFonts w:ascii="Times New Roman" w:eastAsia="仿宋_GB2312" w:cs="Times New Roman" w:hAnsi="Times New Roman"/>
          <w:sz w:val="32"/>
          <w:szCs w:val="32"/>
        </w:rPr>
      </w:pPr>
    </w:p>
    <w:p>
      <w:pPr>
        <w:spacing w:line="560" w:lineRule="exact"/>
        <w:ind w:firstLine="709"/>
        <w:rPr>
          <w:rFonts w:ascii="Times New Roman" w:eastAsia="仿宋_GB2312" w:cs="Times New Roman" w:hAnsi="Times New Roman"/>
          <w:sz w:val="32"/>
          <w:szCs w:val="32"/>
        </w:rPr>
      </w:pPr>
    </w:p>
    <w:p>
      <w:pPr>
        <w:spacing w:line="560" w:lineRule="exact"/>
        <w:ind w:firstLine="709"/>
        <w:rPr>
          <w:rFonts w:ascii="Times New Roman" w:eastAsia="仿宋_GB2312" w:cs="Times New Roman" w:hAnsi="Times New Roman"/>
          <w:sz w:val="32"/>
          <w:szCs w:val="32"/>
        </w:rPr>
      </w:pPr>
    </w:p>
    <w:p>
      <w:pPr>
        <w:spacing w:line="560" w:lineRule="exact"/>
        <w:jc w:val="center"/>
        <w:rPr>
          <w:rFonts w:ascii="Times New Roman" w:eastAsia="仿宋_GB2312" w:cs="Times New Roman" w:hAnsi="Times New Roman"/>
          <w:sz w:val="32"/>
          <w:szCs w:val="32"/>
        </w:rPr>
      </w:pPr>
      <w:r>
        <w:rPr>
          <w:rFonts w:ascii="Times New Roman" w:eastAsia="仿宋_GB2312" w:cs="Times New Roman" w:hAnsi="Times New Roman"/>
          <w:sz w:val="32"/>
          <w:szCs w:val="32"/>
        </w:rPr>
        <w:t>南 京 市 财 政 局</w:t>
      </w:r>
    </w:p>
    <w:p>
      <w:pPr>
        <w:spacing w:line="560" w:lineRule="exact"/>
        <w:jc w:val="center"/>
        <w:rPr>
          <w:rFonts w:ascii="Times New Roman" w:eastAsia="仿宋_GB2312" w:cs="Times New Roman" w:hAnsi="Times New Roman"/>
          <w:sz w:val="32"/>
          <w:szCs w:val="32"/>
        </w:rPr>
        <w:sectPr>
          <w:footerReference w:type="default" r:id="rId2"/>
          <w:footerReference w:type="even" r:id="rId3"/>
          <w:pgSz w:w="11906" w:h="16838"/>
          <w:pgMar w:top="2098" w:right="1588" w:bottom="1701" w:left="1588" w:header="851" w:footer="1247" w:gutter="0"/>
          <w:docGrid w:type="lines" w:linePitch="312" w:charSpace="0"/>
        </w:sectPr>
      </w:pPr>
      <w:r>
        <w:rPr>
          <w:rFonts w:ascii="Times New Roman" w:eastAsia="仿宋_GB2312" w:cs="Times New Roman" w:hAnsi="Times New Roman"/>
          <w:sz w:val="32"/>
          <w:szCs w:val="32"/>
        </w:rPr>
        <w:t>2022年2月24日</w:t>
      </w:r>
    </w:p>
    <w:p>
      <w:pPr>
        <w:spacing w:line="560" w:lineRule="exact"/>
        <w:rPr>
          <w:rFonts w:ascii="Times New Roman" w:eastAsia="黑体" w:cs="Times New Roman" w:hAnsi="Times New Roman"/>
          <w:sz w:val="32"/>
          <w:szCs w:val="32"/>
        </w:rPr>
      </w:pPr>
      <w:r>
        <w:rPr>
          <w:rFonts w:ascii="Times New Roman" w:eastAsia="黑体" w:cs="Times New Roman" w:hAnsi="Times New Roman"/>
          <w:sz w:val="32"/>
          <w:szCs w:val="32"/>
        </w:rPr>
        <w:t>附件</w:t>
      </w:r>
    </w:p>
    <w:p>
      <w:pPr>
        <w:spacing w:line="560" w:lineRule="exact"/>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调整部分临床诊疗类医疗服务项目价格</w:t>
      </w:r>
    </w:p>
    <w:tbl>
      <w:tblPr>
        <w:jc w:val="center"/>
        <w:tblW w:w="50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163"/>
        <w:gridCol w:w="2028"/>
        <w:gridCol w:w="3630"/>
        <w:gridCol w:w="1475"/>
        <w:gridCol w:w="806"/>
        <w:gridCol w:w="671"/>
        <w:gridCol w:w="806"/>
        <w:gridCol w:w="901"/>
        <w:gridCol w:w="806"/>
        <w:gridCol w:w="1197"/>
      </w:tblGrid>
      <w:tr>
        <w:trPr>
          <w:cantSplit/>
          <w:trHeight w:val="585"/>
          <w:tblHeader/>
        </w:trPr>
        <w:tc>
          <w:tcPr>
            <w:tcW w:w="431" w:type="pct"/>
            <w:vMerge w:val="restart"/>
            <w:noWrap/>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编码</w:t>
            </w:r>
          </w:p>
        </w:tc>
        <w:tc>
          <w:tcPr>
            <w:tcW w:w="752" w:type="pct"/>
            <w:vMerge w:val="restart"/>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项目名称</w:t>
            </w:r>
          </w:p>
        </w:tc>
        <w:tc>
          <w:tcPr>
            <w:tcW w:w="1346" w:type="pct"/>
            <w:vMerge w:val="restart"/>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项目内涵</w:t>
            </w:r>
          </w:p>
        </w:tc>
        <w:tc>
          <w:tcPr>
            <w:tcW w:w="547" w:type="pct"/>
            <w:vMerge w:val="restart"/>
            <w:noWrap/>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除外内容</w:t>
            </w:r>
          </w:p>
        </w:tc>
        <w:tc>
          <w:tcPr>
            <w:tcW w:w="299" w:type="pct"/>
            <w:vMerge w:val="restart"/>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医保支付类别</w:t>
            </w:r>
          </w:p>
        </w:tc>
        <w:tc>
          <w:tcPr>
            <w:tcW w:w="249" w:type="pct"/>
            <w:vMerge w:val="restart"/>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计价单位</w:t>
            </w:r>
          </w:p>
        </w:tc>
        <w:tc>
          <w:tcPr>
            <w:tcW w:w="931" w:type="pct"/>
            <w:gridSpan w:val="3"/>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调整后价格（元）</w:t>
            </w:r>
          </w:p>
        </w:tc>
        <w:tc>
          <w:tcPr>
            <w:tcW w:w="445" w:type="pct"/>
            <w:vMerge w:val="restart"/>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说明</w:t>
            </w:r>
          </w:p>
        </w:tc>
      </w:tr>
      <w:tr>
        <w:trPr>
          <w:cantSplit/>
          <w:trHeight w:val="300"/>
          <w:tblHeader/>
        </w:trPr>
        <w:tc>
          <w:tcPr>
            <w:tcW w:w="431" w:type="pct"/>
            <w:vMerge/>
            <w:vAlign w:val="center"/>
          </w:tcPr>
          <w:p/>
        </w:tc>
        <w:tc>
          <w:tcPr>
            <w:tcW w:w="752" w:type="pct"/>
            <w:vMerge/>
            <w:vAlign w:val="center"/>
          </w:tcPr>
          <w:p/>
        </w:tc>
        <w:tc>
          <w:tcPr>
            <w:tcW w:w="1346" w:type="pct"/>
            <w:vMerge/>
          </w:tcPr>
          <w:p/>
        </w:tc>
        <w:tc>
          <w:tcPr>
            <w:tcW w:w="547" w:type="pct"/>
            <w:vMerge/>
            <w:vAlign w:val="center"/>
          </w:tcPr>
          <w:p/>
        </w:tc>
        <w:tc>
          <w:tcPr>
            <w:tcW w:w="299" w:type="pct"/>
            <w:vMerge/>
            <w:vAlign w:val="center"/>
          </w:tcPr>
          <w:p/>
        </w:tc>
        <w:tc>
          <w:tcPr>
            <w:tcW w:w="249" w:type="pct"/>
            <w:vMerge/>
            <w:vAlign w:val="center"/>
          </w:tcPr>
          <w:p/>
        </w:tc>
        <w:tc>
          <w:tcPr>
            <w:tcW w:w="299" w:type="pct"/>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三类</w:t>
            </w:r>
          </w:p>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医院</w:t>
            </w:r>
          </w:p>
        </w:tc>
        <w:tc>
          <w:tcPr>
            <w:tcW w:w="334" w:type="pct"/>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二类</w:t>
            </w:r>
          </w:p>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医院</w:t>
            </w:r>
          </w:p>
        </w:tc>
        <w:tc>
          <w:tcPr>
            <w:tcW w:w="299" w:type="pct"/>
            <w:vAlign w:val="center"/>
          </w:tcPr>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一类</w:t>
            </w:r>
          </w:p>
          <w:p>
            <w:pPr>
              <w:spacing w:line="300" w:lineRule="exact"/>
              <w:jc w:val="center"/>
              <w:rPr>
                <w:rFonts w:ascii="Times New Roman" w:eastAsia="黑体" w:cs="Times New Roman" w:hAnsi="Times New Roman"/>
                <w:szCs w:val="21"/>
              </w:rPr>
            </w:pPr>
            <w:r>
              <w:rPr>
                <w:rFonts w:ascii="Times New Roman" w:eastAsia="黑体" w:cs="Times New Roman" w:hAnsi="Times New Roman"/>
                <w:szCs w:val="21"/>
              </w:rPr>
              <w:t>医院</w:t>
            </w:r>
          </w:p>
        </w:tc>
        <w:tc>
          <w:tcPr>
            <w:tcW w:w="445" w:type="pct"/>
            <w:vMerge/>
            <w:vAlign w:val="center"/>
          </w:tcPr>
          <w:p/>
        </w:tc>
      </w:tr>
      <w:tr>
        <w:trPr>
          <w:cantSplit/>
          <w:trHeight w:val="791"/>
        </w:trPr>
        <w:tc>
          <w:tcPr>
            <w:tcW w:w="431"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311201048</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宫内节育器放置术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包括取出术</w:t>
            </w:r>
          </w:p>
        </w:tc>
        <w:tc>
          <w:tcPr>
            <w:tcW w:w="547"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各类节育器具</w:t>
            </w:r>
          </w:p>
        </w:tc>
        <w:tc>
          <w:tcPr>
            <w:tcW w:w="29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丙</w:t>
            </w:r>
          </w:p>
        </w:tc>
        <w:tc>
          <w:tcPr>
            <w:tcW w:w="24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931" w:type="pct"/>
            <w:gridSpan w:val="3"/>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180</w:t>
            </w:r>
          </w:p>
        </w:tc>
        <w:tc>
          <w:tcPr>
            <w:tcW w:w="445" w:type="pct"/>
            <w:vAlign w:val="center"/>
          </w:tcPr>
          <w:p>
            <w:pPr>
              <w:jc w:val="left"/>
              <w:rPr>
                <w:rFonts w:ascii="Times New Roman" w:eastAsia="宋体" w:cs="Times New Roman" w:hAnsi="Times New Roman"/>
                <w:sz w:val="24"/>
                <w:szCs w:val="24"/>
              </w:rPr>
            </w:pPr>
            <w:r>
              <w:rPr>
                <w:rFonts w:ascii="Times New Roman" w:eastAsia="仿宋_GB2312" w:cs="Times New Roman" w:hAnsi="Times New Roman"/>
              </w:rPr>
              <w:t>计划生育机构免费发放的不得收费</w:t>
            </w:r>
          </w:p>
        </w:tc>
      </w:tr>
      <w:tr>
        <w:trPr>
          <w:cantSplit/>
          <w:trHeight w:val="330"/>
        </w:trPr>
        <w:tc>
          <w:tcPr>
            <w:tcW w:w="431"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311201053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人工流产术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含宫颈扩张</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丙/甲</w:t>
            </w:r>
          </w:p>
        </w:tc>
        <w:tc>
          <w:tcPr>
            <w:tcW w:w="24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931" w:type="pct"/>
            <w:gridSpan w:val="3"/>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320</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330201022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幕上浅部病变切除术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包括大脑半球胶质瘤、转移癌、胶质增生、大脑半球凸面脑膜瘤、脑脓肿；不含矢状窦旁脑膜瘤、大脑镰旁脑膜瘤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5530</w:t>
            </w:r>
          </w:p>
        </w:tc>
        <w:tc>
          <w:tcPr>
            <w:tcW w:w="334"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4420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3975</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330201024</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幕上深部病变切除术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包括脑室内肿瘤、海绵状血管瘤、胼胝体肿瘤、三室前</w:t>
            </w:r>
            <w:r>
              <w:rPr>
                <w:rFonts w:ascii="Times New Roman" w:cs="Times New Roman" w:hAnsi="Times New Roman"/>
              </w:rPr>
              <w:t>(</w:t>
            </w:r>
            <w:r>
              <w:rPr>
                <w:rFonts w:ascii="Times New Roman" w:eastAsia="仿宋_GB2312" w:cs="Times New Roman" w:hAnsi="Times New Roman"/>
              </w:rPr>
              <w:t>突入到第三脑室）颅咽管瘤、后部肿瘤、脑脓肿，不含矢状窦旁脑膜瘤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6550</w:t>
            </w:r>
          </w:p>
        </w:tc>
        <w:tc>
          <w:tcPr>
            <w:tcW w:w="334"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5240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4722</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330201025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第四脑室肿瘤切除术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包括小脑下蚓部、四室室管膜瘤、四室导水管囊虫；不含桥脑、延髓突入四室胶质瘤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6470</w:t>
            </w:r>
          </w:p>
        </w:tc>
        <w:tc>
          <w:tcPr>
            <w:tcW w:w="334"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5180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4668</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330201026</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经颅内镜脑室肿瘤切除术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乙</w:t>
            </w:r>
          </w:p>
        </w:tc>
        <w:tc>
          <w:tcPr>
            <w:tcW w:w="24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6220</w:t>
            </w:r>
          </w:p>
        </w:tc>
        <w:tc>
          <w:tcPr>
            <w:tcW w:w="334"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4980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4485</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330201027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桥小脑角肿瘤切除术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包括听神经瘤、三叉神经鞘瘤、胆脂瘤、蛛网膜囊肿；不含面神经吻合术、术中神经电监测</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noWrap/>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7320</w:t>
            </w:r>
          </w:p>
        </w:tc>
        <w:tc>
          <w:tcPr>
            <w:tcW w:w="334"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5860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5280</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330201036</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小脑半球病变切除术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包括小脑半球胶质瘤、血管网织细胞瘤、转移癌、脑脓肿、自发性出血</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6010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4810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4326</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330201037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脑干肿瘤切除术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包括中脑、桥脑、延髓、丘脑肿瘤、自发脑干血肿、脑干血管畸形、小脑实性血网</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8420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6740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6066</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330201038</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鞍区占位病变切除术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包括垂体瘤、鞍区颅咽管瘤、视神经胶质瘤；不含侵袭性垂体瘤、突入到第三脑室颅咽管瘤、鞍结节脑膜瘤、下丘脑胶质瘤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5500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4400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3967</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330201039</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垂体瘤切除术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含取脂肪填塞；包括经口腔、鼻腔</w:t>
            </w:r>
          </w:p>
        </w:tc>
        <w:tc>
          <w:tcPr>
            <w:tcW w:w="547"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生物胶</w:t>
            </w: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5380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4300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3876</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78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330201041</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颅底肿瘤切除术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包括前、中颅窝颅内外沟通性肿瘤、前、中、后颅窝底肿瘤</w:t>
            </w:r>
            <w:r>
              <w:rPr>
                <w:rFonts w:ascii="Times New Roman" w:cs="Times New Roman" w:hAnsi="Times New Roman"/>
              </w:rPr>
              <w:t>(</w:t>
            </w:r>
            <w:r>
              <w:rPr>
                <w:rFonts w:ascii="Times New Roman" w:eastAsia="仿宋_GB2312" w:cs="Times New Roman" w:hAnsi="Times New Roman"/>
              </w:rPr>
              <w:t>鞍结节脑膜瘤、侵袭性垂体瘤、脊索瘤、神经鞘瘤</w:t>
            </w:r>
            <w:r>
              <w:rPr>
                <w:rFonts w:ascii="Times New Roman" w:cs="Times New Roman" w:hAnsi="Times New Roman"/>
              </w:rPr>
              <w:t>)</w:t>
            </w:r>
            <w:r>
              <w:rPr>
                <w:rFonts w:ascii="Times New Roman" w:eastAsia="仿宋_GB2312" w:cs="Times New Roman" w:hAnsi="Times New Roman"/>
              </w:rPr>
              <w:t>、颈静脉孔区肿瘤；不含胆脂瘤、囊肿</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8780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7020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6313</w:t>
            </w:r>
          </w:p>
        </w:tc>
        <w:tc>
          <w:tcPr>
            <w:tcW w:w="445" w:type="pct"/>
            <w:vAlign w:val="center"/>
          </w:tcPr>
          <w:p>
            <w:pPr>
              <w:jc w:val="left"/>
              <w:rPr>
                <w:rFonts w:ascii="Times New Roman" w:eastAsia="宋体" w:cs="Times New Roman" w:hAnsi="Times New Roman"/>
                <w:sz w:val="24"/>
                <w:szCs w:val="24"/>
              </w:rPr>
            </w:pPr>
            <w:r>
              <w:rPr>
                <w:rFonts w:ascii="Times New Roman" w:eastAsia="仿宋_GB2312" w:cs="Times New Roman" w:hAnsi="Times New Roman"/>
              </w:rPr>
              <w:t>颅底再造按颅骨修补处理</w:t>
            </w:r>
          </w:p>
        </w:tc>
      </w:tr>
      <w:tr>
        <w:trPr>
          <w:cantSplit/>
          <w:trHeight w:val="525"/>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330201045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经颅内镜经鼻蝶垂体肿瘤切除术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乙</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5150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4120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3714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330202007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颅神经微血管减压术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包括三叉神经、面神经、听神经、舌咽神经、迷走神经</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4660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3730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3354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78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330203002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颅内动脉瘤夹闭术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不含基底动脉瘤、大脑后动脉瘤、多发动脉瘤</w:t>
            </w:r>
          </w:p>
        </w:tc>
        <w:tc>
          <w:tcPr>
            <w:tcW w:w="547"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动脉瘤夹</w:t>
            </w: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6300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5040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4543</w:t>
            </w:r>
          </w:p>
        </w:tc>
        <w:tc>
          <w:tcPr>
            <w:tcW w:w="445" w:type="pct"/>
            <w:vAlign w:val="center"/>
          </w:tcPr>
          <w:p>
            <w:pPr>
              <w:jc w:val="left"/>
              <w:rPr>
                <w:rFonts w:ascii="Times New Roman" w:eastAsia="宋体" w:cs="Times New Roman" w:hAnsi="Times New Roman"/>
                <w:sz w:val="24"/>
                <w:szCs w:val="24"/>
              </w:rPr>
            </w:pPr>
            <w:r>
              <w:rPr>
                <w:rFonts w:ascii="Times New Roman" w:eastAsia="仿宋_GB2312" w:cs="Times New Roman" w:hAnsi="Times New Roman"/>
              </w:rPr>
              <w:t>动脉瘤直径小于</w:t>
            </w:r>
            <w:r>
              <w:rPr>
                <w:rFonts w:ascii="Times New Roman" w:cs="Times New Roman" w:hAnsi="Times New Roman"/>
              </w:rPr>
              <w:t>2.5cm</w:t>
            </w: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330203005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颅内动静脉畸形切除术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含血肿清除、小于</w:t>
            </w:r>
            <w:r>
              <w:rPr>
                <w:rFonts w:ascii="Times New Roman" w:cs="Times New Roman" w:hAnsi="Times New Roman"/>
              </w:rPr>
              <w:t>4cm</w:t>
            </w:r>
            <w:r>
              <w:rPr>
                <w:rFonts w:ascii="Times New Roman" w:eastAsia="仿宋_GB2312" w:cs="Times New Roman" w:hAnsi="Times New Roman"/>
              </w:rPr>
              <w:t>动静脉畸形切除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6300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5040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4536</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330203007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颈内动脉内膜剥脱术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不含术中血流监测</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4230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3380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3042</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330300011</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甲状腺癌根治术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4070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3260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2929</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330702002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肺癌根治术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含淋巴结清扫</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5770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4155</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330702003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肺段切除术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4630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3700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3326</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330702005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肺楔形切除术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包括支气管肿物切除术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2660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2130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1917</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330702006</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肺叶切除术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包括同侧肺两叶切除术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3980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3180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2862</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330702007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袖状肺叶切除术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含肺动脉袖状切除成形术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5910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4730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4264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330703026</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纵隔肿物切除术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包括经胸后外切口及正中胸骨劈开切口、胸骨后甲状腺和胸腺切除、血管成形及心包切除</w:t>
            </w:r>
          </w:p>
        </w:tc>
        <w:tc>
          <w:tcPr>
            <w:tcW w:w="547"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人工血管</w:t>
            </w: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4730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3780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3402</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330801002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二尖瓣直视成形术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包括各种类型的二尖瓣狭窄或</w:t>
            </w:r>
            <w:r>
              <w:rPr>
                <w:rFonts w:ascii="Times New Roman" w:cs="Times New Roman" w:hAnsi="Times New Roman"/>
              </w:rPr>
              <w:t>/</w:t>
            </w:r>
            <w:r>
              <w:rPr>
                <w:rFonts w:ascii="Times New Roman" w:eastAsia="仿宋_GB2312" w:cs="Times New Roman" w:hAnsi="Times New Roman"/>
              </w:rPr>
              <w:t>和关闭不全的瓣膜的处理，如交界切开、睫索替代、瓣叶切除、瓣环成形等</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7420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5940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5346</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330801003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二尖瓣替换术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包括保留部分或全部二尖瓣装置</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7150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5720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5157</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330801008</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主动脉瓣直视成形术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6280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5020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4518</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330801009</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主动脉瓣置换术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7100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5680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5105</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330801014</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双瓣置换术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8920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7140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6426</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525"/>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330804011</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胸腹主动脉瘤切除人工血管转流术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含大隐静脉取用；包括脊髓动脉、腹腔动脉、肠系膜上、下动脉、双肾动脉架桥；不含体外循环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乙</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15720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12580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11328</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330900018</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脾切除术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包括副脾切除、胰尾切除术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2380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1900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1710</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331001011</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食管癌根治术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包括胸内胃食管吻合</w:t>
            </w:r>
            <w:r>
              <w:rPr>
                <w:rFonts w:ascii="Times New Roman" w:cs="Times New Roman" w:hAnsi="Times New Roman"/>
              </w:rPr>
              <w:t>(</w:t>
            </w:r>
            <w:r>
              <w:rPr>
                <w:rFonts w:ascii="Times New Roman" w:eastAsia="仿宋_GB2312" w:cs="Times New Roman" w:hAnsi="Times New Roman"/>
              </w:rPr>
              <w:t>主动脉弓下，弓上胸顶部吻合</w:t>
            </w:r>
            <w:r>
              <w:rPr>
                <w:rFonts w:ascii="Times New Roman" w:cs="Times New Roman" w:hAnsi="Times New Roman"/>
              </w:rPr>
              <w:t>)</w:t>
            </w:r>
            <w:r>
              <w:rPr>
                <w:rFonts w:ascii="Times New Roman" w:eastAsia="仿宋_GB2312" w:cs="Times New Roman" w:hAnsi="Times New Roman"/>
              </w:rPr>
              <w:t>及颈部吻合术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5750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4140</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331001022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贲门癌切除术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含胃食管弓下吻合术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4860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3890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3501</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331001023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贲门癌扩大根治术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含全胃、脾、胰尾切除、食管－空肠吻合术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6570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5260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4734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331002003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近端胃大部切除术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3090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2470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2217</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331002004</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远端胃大部切除术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包括胃、十二指肠吻合（</w:t>
            </w:r>
            <w:r>
              <w:rPr>
                <w:rFonts w:ascii="Times New Roman" w:cs="Times New Roman" w:hAnsi="Times New Roman"/>
              </w:rPr>
              <w:t>BillrothI</w:t>
            </w:r>
            <w:r>
              <w:rPr>
                <w:rFonts w:ascii="Times New Roman" w:eastAsia="仿宋_GB2312" w:cs="Times New Roman" w:hAnsi="Times New Roman"/>
              </w:rPr>
              <w:t>式）、胃空肠吻合（</w:t>
            </w:r>
            <w:r>
              <w:rPr>
                <w:rFonts w:ascii="Times New Roman" w:cs="Times New Roman" w:hAnsi="Times New Roman"/>
              </w:rPr>
              <w:t>Billroth</w:t>
            </w:r>
            <w:r>
              <w:rPr>
                <w:rFonts w:ascii="Times New Roman" w:eastAsia="仿宋_GB2312" w:cs="Times New Roman" w:hAnsi="Times New Roman"/>
              </w:rPr>
              <w:t>Ⅱ式）或胃</w:t>
            </w:r>
            <w:r>
              <w:rPr>
                <w:rFonts w:ascii="Times New Roman" w:cs="Times New Roman" w:hAnsi="Times New Roman"/>
              </w:rPr>
              <w:t>—</w:t>
            </w:r>
            <w:r>
              <w:rPr>
                <w:rFonts w:ascii="Times New Roman" w:eastAsia="仿宋_GB2312" w:cs="Times New Roman" w:hAnsi="Times New Roman"/>
              </w:rPr>
              <w:t>空肠</w:t>
            </w:r>
            <w:r>
              <w:rPr>
                <w:rFonts w:ascii="Times New Roman" w:cs="Times New Roman" w:hAnsi="Times New Roman"/>
              </w:rPr>
              <w:t>Roux-y</w:t>
            </w:r>
            <w:r>
              <w:rPr>
                <w:rFonts w:ascii="Times New Roman" w:eastAsia="仿宋_GB2312" w:cs="Times New Roman" w:hAnsi="Times New Roman"/>
              </w:rPr>
              <w:t>型吻合</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3040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2430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2194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331002005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胃癌根治术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含保留胃近端与十二指肠或空肠吻合、区域淋巴结清扫；不含联合其他脏器切除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3680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3312</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331003020</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结肠癌根治术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包括左、右半横结肠切除、淋巴清扫</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3380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2700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2423</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54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331004011</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经腹会阴直肠癌根治术（Miles手术）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含结肠造口，区域淋巴结清扫；不含子宫、卵巢切除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4640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3710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3339</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54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331004012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经腹直肠癌根治术（Dixon手术）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含保留肛门，区域淋巴结清扫；不含子宫、卵巢切除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3680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3312</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331004013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直肠癌扩大根治术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含盆腔联合脏器切除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4670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3740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3363</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331005007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肝癌切除术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指癌肿局部切除术；不含第一、第二肝门血管及下腔静脉受侵犯的肝癌切除、安置化疗泵</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4450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3560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3201</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331005013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肝部分切除术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含肝活检术；包括各肝段切除</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3150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2520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2272</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331005015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半肝切除术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包括左半肝或右半肝切除术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5200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4160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3744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331006004</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高位胆管癌根治术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含肝部分切除、肝胆管</w:t>
            </w:r>
            <w:r>
              <w:rPr>
                <w:rFonts w:ascii="Times New Roman" w:cs="Times New Roman" w:hAnsi="Times New Roman"/>
              </w:rPr>
              <w:t>—</w:t>
            </w:r>
            <w:r>
              <w:rPr>
                <w:rFonts w:ascii="Times New Roman" w:eastAsia="仿宋_GB2312" w:cs="Times New Roman" w:hAnsi="Times New Roman"/>
              </w:rPr>
              <w:t>肠吻合术。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5520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4420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3974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54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331007006</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胰十二指肠切除术（Whipple手术）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包括各种胰管空肠吻合、胃空肠吻合术、胆管肠吻合术；包括胰体癌或壶腹周围癌根治术；不含脾切除术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6900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5520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4963</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331007007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胰体尾切除术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不含血管切除吻合术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4270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3420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3082</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331008001</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腹股沟疝修补术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包括各种方法修补。包括疝囊高位结扎术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单侧</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2080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1660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1494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331008015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腹膜后肿瘤切除术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不含其它脏器切除术、血管切除吻合术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4360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3490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3141</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331301002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附件良性肿物切除术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包括烧灼术。包括卵巢冠囊肿剥除术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单侧</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1790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1430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1287</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331301006</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卵巢癌根治术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含全子宫</w:t>
            </w:r>
            <w:r>
              <w:rPr>
                <w:rFonts w:ascii="Times New Roman" w:cs="Times New Roman" w:hAnsi="Times New Roman"/>
              </w:rPr>
              <w:t>+</w:t>
            </w:r>
            <w:r>
              <w:rPr>
                <w:rFonts w:ascii="Times New Roman" w:eastAsia="仿宋_GB2312" w:cs="Times New Roman" w:hAnsi="Times New Roman"/>
              </w:rPr>
              <w:t>双附件切除</w:t>
            </w:r>
            <w:r>
              <w:rPr>
                <w:rFonts w:ascii="Times New Roman" w:cs="Times New Roman" w:hAnsi="Times New Roman"/>
              </w:rPr>
              <w:t>+</w:t>
            </w:r>
            <w:r>
              <w:rPr>
                <w:rFonts w:ascii="Times New Roman" w:eastAsia="仿宋_GB2312" w:cs="Times New Roman" w:hAnsi="Times New Roman"/>
              </w:rPr>
              <w:t>网膜切除</w:t>
            </w:r>
            <w:r>
              <w:rPr>
                <w:rFonts w:ascii="Times New Roman" w:cs="Times New Roman" w:hAnsi="Times New Roman"/>
              </w:rPr>
              <w:t>+</w:t>
            </w:r>
            <w:r>
              <w:rPr>
                <w:rFonts w:ascii="Times New Roman" w:eastAsia="仿宋_GB2312" w:cs="Times New Roman" w:hAnsi="Times New Roman"/>
              </w:rPr>
              <w:t>阑尾切除</w:t>
            </w:r>
            <w:r>
              <w:rPr>
                <w:rFonts w:ascii="Times New Roman" w:cs="Times New Roman" w:hAnsi="Times New Roman"/>
              </w:rPr>
              <w:t>+</w:t>
            </w:r>
            <w:r>
              <w:rPr>
                <w:rFonts w:ascii="Times New Roman" w:eastAsia="仿宋_GB2312" w:cs="Times New Roman" w:hAnsi="Times New Roman"/>
              </w:rPr>
              <w:t>肿瘤细胞减灭术</w:t>
            </w:r>
            <w:r>
              <w:rPr>
                <w:rFonts w:ascii="Times New Roman" w:cs="Times New Roman" w:hAnsi="Times New Roman"/>
              </w:rPr>
              <w:t>(</w:t>
            </w:r>
            <w:r>
              <w:rPr>
                <w:rFonts w:ascii="Times New Roman" w:eastAsia="仿宋_GB2312" w:cs="Times New Roman" w:hAnsi="Times New Roman"/>
              </w:rPr>
              <w:t>盆、腹腔转移灶切除</w:t>
            </w:r>
            <w:r>
              <w:rPr>
                <w:rFonts w:ascii="Times New Roman" w:cs="Times New Roman" w:hAnsi="Times New Roman"/>
              </w:rPr>
              <w:t>)+</w:t>
            </w:r>
            <w:r>
              <w:rPr>
                <w:rFonts w:ascii="Times New Roman" w:eastAsia="仿宋_GB2312" w:cs="Times New Roman" w:hAnsi="Times New Roman"/>
              </w:rPr>
              <w:t>盆腹腔淋巴结清除术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6000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4800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4320</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331303011</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经腹子宫肌瘤剔除术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2190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1750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1575</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331303013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阴式全子宫切除术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2800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2240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2016</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331303014</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腹式全子宫切除术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2420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1940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1746</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331303015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全子宫+双附件切除术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2900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2320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2085</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54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331303017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广泛性子宫切除+盆腹腔淋巴结清除术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包括次广泛性子宫切除</w:t>
            </w:r>
            <w:r>
              <w:rPr>
                <w:rFonts w:ascii="Times New Roman" w:cs="Times New Roman" w:hAnsi="Times New Roman"/>
              </w:rPr>
              <w:t>+</w:t>
            </w:r>
            <w:r>
              <w:rPr>
                <w:rFonts w:ascii="Times New Roman" w:eastAsia="仿宋_GB2312" w:cs="Times New Roman" w:hAnsi="Times New Roman"/>
              </w:rPr>
              <w:t>盆腹腔淋巴结清除术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5200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4160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3741</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331303018</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经腹阴道联合子宫切除术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2560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2050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1845</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331303025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盆腔巨大肿瘤切除术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2650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2120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1908</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1035"/>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331303028</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根治性宫颈切除术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含盆腔淋巴结清扫、卵巢动静脉高位结扎术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5100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4080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3674</w:t>
            </w:r>
          </w:p>
        </w:tc>
        <w:tc>
          <w:tcPr>
            <w:tcW w:w="445" w:type="pct"/>
            <w:vAlign w:val="center"/>
          </w:tcPr>
          <w:p>
            <w:pPr>
              <w:jc w:val="left"/>
              <w:rPr>
                <w:rFonts w:ascii="Times New Roman" w:eastAsia="宋体" w:cs="Times New Roman" w:hAnsi="Times New Roman"/>
                <w:sz w:val="24"/>
                <w:szCs w:val="24"/>
              </w:rPr>
            </w:pPr>
            <w:r>
              <w:rPr>
                <w:rFonts w:ascii="Times New Roman" w:eastAsia="仿宋_GB2312" w:cs="Times New Roman" w:hAnsi="Times New Roman"/>
              </w:rPr>
              <w:t>经阴道、经腹、经腹膜外同价</w:t>
            </w: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331306006</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经宫腔镜宫腔粘连分离术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乙</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1850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1480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1329</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741"/>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331306008</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经宫腔镜子宫肌瘤切除术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不含术中</w:t>
            </w:r>
            <w:r>
              <w:rPr>
                <w:rFonts w:ascii="Times New Roman" w:cs="Times New Roman" w:hAnsi="Times New Roman"/>
              </w:rPr>
              <w:t>B</w:t>
            </w:r>
            <w:r>
              <w:rPr>
                <w:rFonts w:ascii="Times New Roman" w:eastAsia="仿宋_GB2312" w:cs="Times New Roman" w:hAnsi="Times New Roman"/>
              </w:rPr>
              <w:t>超监视</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乙</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2370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1900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1704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693"/>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331400002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单胎顺产接生</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含产程观察、阴道或肛门检查，胎心监测及脐带处理，会阴裂伤修补及侧切</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丙/甲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1520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1220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1098</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331400003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双胎接生</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含产程观察、阴道或肛门检查、胎心监测及脐带处理、会阴裂伤修补及侧切</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丙/甲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2510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2010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1809</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331400007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难产接生</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含产程观察、阴道或肛门检查，胎心监测及脐带处理，会阴裂伤修补及侧切</w:t>
            </w:r>
            <w:r>
              <w:rPr>
                <w:rFonts w:ascii="Times New Roman" w:cs="Times New Roman" w:hAnsi="Times New Roman"/>
              </w:rPr>
              <w:t>;</w:t>
            </w:r>
            <w:r>
              <w:rPr>
                <w:rFonts w:ascii="Times New Roman" w:eastAsia="仿宋_GB2312" w:cs="Times New Roman" w:hAnsi="Times New Roman"/>
              </w:rPr>
              <w:t>包括臀位助产、臀位牵引、胎头吸引、胎头旋转、产钳助产</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丙/甲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2720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2180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1962</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331400012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剖宫产术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包括古典式、子宫下段及腹膜外剖宫取胎术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丙/甲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2030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1620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1458</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331400015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二次剖宫产术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含腹部疤痕剔除术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丙/甲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2330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1860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1674</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555"/>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331400019</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子宫颈管环扎术（Mc- Donald）</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指孕期手术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丙</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750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600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540</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331503013</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股骨下段肿瘤切除术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包括股骨中上端肿瘤切除术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4020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3220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2890</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525"/>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331506007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先天性髋关节脱位切开复位骨盆截骨内固定术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包括发育性髋关节脱位切开复位骨盆截骨内固定术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丙/乙</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4290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3430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3078</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525"/>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331506012</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膝关节陈旧性前十字韧带重建术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3060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2450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2209</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331507005</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人工全髋关节置换术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乙</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3940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3150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2835</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331507006</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人工股骨头置换术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乙</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3860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3090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2781</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331507007</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人工膝关节表面置换术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乙</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4950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3960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3561</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331507014</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人工关节翻修术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5750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4600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4133</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525"/>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331508001</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骨骺肌及软组织肿瘤切除术</w:t>
            </w:r>
          </w:p>
        </w:tc>
        <w:tc>
          <w:tcPr>
            <w:tcW w:w="1346" w:type="pct"/>
            <w:vAlign w:val="center"/>
          </w:tcPr>
          <w:p>
            <w:pPr>
              <w:spacing w:line="300" w:lineRule="exact"/>
              <w:rPr>
                <w:rFonts w:ascii="Times New Roman" w:eastAsia="宋体" w:cs="Times New Roman" w:hAnsi="Times New Roman"/>
                <w:sz w:val="24"/>
                <w:szCs w:val="24"/>
              </w:rPr>
            </w:pPr>
            <w:r>
              <w:rPr>
                <w:rFonts w:ascii="Times New Roman" w:cs="Times New Roman" w:hAnsi="Times New Roman"/>
              </w:rPr>
              <w:t>　</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3160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2530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2277</w:t>
            </w:r>
          </w:p>
        </w:tc>
        <w:tc>
          <w:tcPr>
            <w:tcW w:w="445" w:type="pct"/>
            <w:vAlign w:val="center"/>
          </w:tcPr>
          <w:p>
            <w:pPr>
              <w:spacing w:line="300" w:lineRule="exact"/>
              <w:jc w:val="left"/>
              <w:rPr>
                <w:rFonts w:ascii="Times New Roman" w:eastAsia="仿宋_GB2312" w:cs="Times New Roman" w:hAnsi="Times New Roman"/>
                <w:szCs w:val="21"/>
              </w:rPr>
            </w:pPr>
          </w:p>
        </w:tc>
      </w:tr>
      <w:tr>
        <w:trPr>
          <w:cantSplit/>
          <w:trHeight w:val="330"/>
        </w:trPr>
        <w:tc>
          <w:tcPr>
            <w:tcW w:w="431"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331522008</w:t>
            </w:r>
          </w:p>
        </w:tc>
        <w:tc>
          <w:tcPr>
            <w:tcW w:w="752" w:type="pct"/>
            <w:noWrap/>
            <w:vAlign w:val="center"/>
          </w:tcPr>
          <w:p>
            <w:pPr>
              <w:spacing w:line="300" w:lineRule="exact"/>
              <w:jc w:val="left"/>
              <w:rPr>
                <w:rFonts w:ascii="Times New Roman" w:eastAsia="仿宋_GB2312" w:cs="Times New Roman" w:hAnsi="Times New Roman"/>
                <w:szCs w:val="21"/>
              </w:rPr>
            </w:pPr>
            <w:r>
              <w:rPr>
                <w:rFonts w:ascii="Times New Roman" w:eastAsia="仿宋_GB2312" w:cs="Times New Roman" w:hAnsi="Times New Roman"/>
                <w:szCs w:val="21"/>
              </w:rPr>
              <w:t>肩袖破裂修补术</w:t>
            </w:r>
          </w:p>
        </w:tc>
        <w:tc>
          <w:tcPr>
            <w:tcW w:w="1346" w:type="pct"/>
            <w:vAlign w:val="center"/>
          </w:tcPr>
          <w:p>
            <w:pPr>
              <w:spacing w:line="300" w:lineRule="exact"/>
              <w:rPr>
                <w:rFonts w:ascii="Times New Roman" w:eastAsia="宋体" w:cs="Times New Roman" w:hAnsi="Times New Roman"/>
                <w:sz w:val="24"/>
                <w:szCs w:val="24"/>
              </w:rPr>
            </w:pPr>
            <w:r>
              <w:rPr>
                <w:rFonts w:ascii="Times New Roman" w:eastAsia="仿宋_GB2312" w:cs="Times New Roman" w:hAnsi="Times New Roman"/>
              </w:rPr>
              <w:t>包括肩袖成形术</w:t>
            </w:r>
          </w:p>
        </w:tc>
        <w:tc>
          <w:tcPr>
            <w:tcW w:w="547" w:type="pct"/>
            <w:vAlign w:val="center"/>
          </w:tcPr>
          <w:p>
            <w:pPr>
              <w:spacing w:line="300" w:lineRule="exact"/>
              <w:jc w:val="center"/>
              <w:rPr>
                <w:rFonts w:ascii="Times New Roman" w:eastAsia="仿宋_GB2312" w:cs="Times New Roman" w:hAnsi="Times New Roman"/>
                <w:szCs w:val="21"/>
              </w:rPr>
            </w:pPr>
          </w:p>
        </w:tc>
        <w:tc>
          <w:tcPr>
            <w:tcW w:w="29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甲</w:t>
            </w:r>
          </w:p>
        </w:tc>
        <w:tc>
          <w:tcPr>
            <w:tcW w:w="249" w:type="pct"/>
            <w:vAlign w:val="center"/>
          </w:tcPr>
          <w:p>
            <w:pPr>
              <w:spacing w:line="300" w:lineRule="exact"/>
              <w:jc w:val="center"/>
              <w:rPr>
                <w:rFonts w:ascii="Times New Roman" w:eastAsia="仿宋_GB2312" w:cs="Times New Roman" w:hAnsi="Times New Roman"/>
                <w:szCs w:val="21"/>
              </w:rPr>
            </w:pPr>
            <w:r>
              <w:rPr>
                <w:rFonts w:ascii="Times New Roman" w:eastAsia="仿宋_GB2312" w:cs="Times New Roman" w:hAnsi="Times New Roman"/>
                <w:szCs w:val="21"/>
              </w:rPr>
              <w:t>次</w:t>
            </w:r>
          </w:p>
        </w:tc>
        <w:tc>
          <w:tcPr>
            <w:tcW w:w="299"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3080</w:t>
            </w:r>
          </w:p>
        </w:tc>
        <w:tc>
          <w:tcPr>
            <w:tcW w:w="334" w:type="pct"/>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2460</w:t>
            </w:r>
          </w:p>
        </w:tc>
        <w:tc>
          <w:tcPr>
            <w:tcW w:w="299" w:type="pct"/>
            <w:noWrap/>
            <w:vAlign w:val="center"/>
          </w:tcPr>
          <w:p>
            <w:pPr>
              <w:spacing w:line="300" w:lineRule="exact"/>
              <w:jc w:val="center"/>
              <w:rPr>
                <w:rFonts w:ascii="Times New Roman" w:eastAsia="宋体" w:cs="Times New Roman" w:hAnsi="Times New Roman"/>
                <w:sz w:val="24"/>
                <w:szCs w:val="24"/>
              </w:rPr>
            </w:pPr>
            <w:r>
              <w:rPr>
                <w:rFonts w:ascii="Times New Roman" w:cs="Times New Roman" w:hAnsi="Times New Roman"/>
              </w:rPr>
              <w:t>2214</w:t>
            </w:r>
          </w:p>
        </w:tc>
        <w:tc>
          <w:tcPr>
            <w:tcW w:w="445" w:type="pct"/>
            <w:vAlign w:val="center"/>
          </w:tcPr>
          <w:p>
            <w:pPr>
              <w:spacing w:line="300" w:lineRule="exact"/>
              <w:jc w:val="left"/>
              <w:rPr>
                <w:rFonts w:ascii="Times New Roman" w:eastAsia="仿宋_GB2312" w:cs="Times New Roman" w:hAnsi="Times New Roman"/>
                <w:szCs w:val="21"/>
              </w:rPr>
            </w:pPr>
          </w:p>
        </w:tc>
      </w:tr>
    </w:tbl>
    <w:p>
      <w:pPr>
        <w:spacing w:line="580" w:lineRule="exact"/>
        <w:rPr>
          <w:rFonts w:ascii="Times New Roman" w:eastAsia="仿宋_GB2312" w:cs="Times New Roman" w:hAnsi="Times New Roman"/>
          <w:sz w:val="32"/>
          <w:szCs w:val="32"/>
        </w:rPr>
      </w:pPr>
    </w:p>
    <w:p>
      <w:pPr>
        <w:widowControl/>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jc w:val="left"/>
        <w:rPr>
          <w:rFonts w:ascii="Times New Roman" w:eastAsia="仿宋_GB2312" w:cs="Times New Roman" w:hAnsi="Times New Roman"/>
          <w:sz w:val="32"/>
          <w:szCs w:val="32"/>
        </w:rPr>
        <w:sectPr>
          <w:pgSz w:w="16838" w:h="11906" w:orient="landscape"/>
          <w:pgMar w:top="1588" w:right="2098" w:bottom="1588" w:left="1701" w:header="851" w:footer="1247" w:gutter="0"/>
          <w:docGrid w:type="lines" w:linePitch="312" w:charSpace="0"/>
        </w:sectPr>
      </w:pPr>
      <w:r>
        <w:rPr>
          <w:rFonts w:ascii="Times New Roman" w:eastAsia="仿宋_GB2312" w:cs="Times New Roman" w:hAnsi="Times New Roman"/>
          <w:sz w:val="32"/>
          <w:szCs w:val="32"/>
        </w:rPr>
        <w:br w:type="page"/>
      </w: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widowControl/>
        <w:spacing w:line="240" w:lineRule="exact"/>
        <w:jc w:val="left"/>
        <w:rPr>
          <w:rFonts w:ascii="Times New Roman" w:eastAsia="仿宋_GB2312" w:cs="Times New Roman" w:hAnsi="Times New Roman"/>
          <w:sz w:val="32"/>
          <w:szCs w:val="32"/>
        </w:rPr>
      </w:pPr>
    </w:p>
    <w:p>
      <w:pPr>
        <w:pBdr>
          <w:top w:val="single" w:sz="4" w:space="1" w:color="auto"/>
          <w:bottom w:val="single" w:sz="4" w:space="1" w:color="auto"/>
          <w:between w:val="single" w:sz="4" w:space="1" w:color="auto"/>
        </w:pBdr>
        <w:spacing w:line="500" w:lineRule="exact"/>
        <w:rPr>
          <w:rFonts w:ascii="Times New Roman" w:eastAsia="仿宋_GB2312" w:cs="Times New Roman" w:hAnsi="Times New Roman"/>
          <w:kern w:val="0"/>
          <w:sz w:val="32"/>
          <w:szCs w:val="32"/>
        </w:rPr>
      </w:pPr>
      <w:r>
        <w:rPr>
          <w:rFonts w:ascii="Times New Roman" w:eastAsia="仿宋_GB2312" w:cs="Times New Roman" w:hAnsi="Times New Roman" w:hint="eastAsia"/>
          <w:kern w:val="0"/>
          <w:sz w:val="32"/>
          <w:szCs w:val="32"/>
        </w:rPr>
        <w:t xml:space="preserve"> 抄送：市医保中心</w:t>
      </w:r>
    </w:p>
    <w:p>
      <w:pPr>
        <w:pBdr>
          <w:top w:val="single" w:sz="4" w:space="1" w:color="auto"/>
          <w:bottom w:val="single" w:sz="4" w:space="1" w:color="auto"/>
          <w:between w:val="single" w:sz="4" w:space="1" w:color="auto"/>
        </w:pBdr>
        <w:spacing w:line="500" w:lineRule="exact"/>
        <w:rPr>
          <w:rFonts w:ascii="Times New Roman" w:eastAsia="仿宋_GB2312" w:cs="Times New Roman" w:hAnsi="Times New Roman"/>
          <w:kern w:val="0"/>
          <w:sz w:val="32"/>
          <w:szCs w:val="32"/>
        </w:rPr>
      </w:pPr>
      <w:r>
        <w:rPr>
          <w:rFonts w:ascii="Times New Roman" w:eastAsia="仿宋_GB2312" w:cs="Times New Roman" w:hAnsi="Times New Roman" w:hint="eastAsia"/>
          <w:kern w:val="0"/>
          <w:sz w:val="32"/>
          <w:szCs w:val="32"/>
        </w:rPr>
        <w:t xml:space="preserve"> </w:t>
      </w:r>
      <w:r>
        <w:rPr>
          <w:rFonts w:ascii="Times New Roman" w:eastAsia="仿宋_GB2312" w:cs="Times New Roman" w:hAnsi="Times New Roman"/>
          <w:kern w:val="0"/>
          <w:sz w:val="32"/>
          <w:szCs w:val="32"/>
        </w:rPr>
        <w:t xml:space="preserve">南京市医疗保障局办公室     </w:t>
      </w:r>
      <w:r>
        <w:rPr>
          <w:rFonts w:ascii="Times New Roman" w:eastAsia="仿宋_GB2312" w:cs="Times New Roman" w:hAnsi="Times New Roman" w:hint="eastAsia"/>
          <w:kern w:val="0"/>
          <w:sz w:val="32"/>
          <w:szCs w:val="32"/>
        </w:rPr>
        <w:t xml:space="preserve">    </w:t>
      </w:r>
      <w:r>
        <w:rPr>
          <w:rFonts w:ascii="Times New Roman" w:eastAsia="仿宋_GB2312" w:cs="Times New Roman" w:hAnsi="Times New Roman"/>
          <w:kern w:val="0"/>
          <w:sz w:val="32"/>
          <w:szCs w:val="32"/>
        </w:rPr>
        <w:t xml:space="preserve"> 20</w:t>
      </w:r>
      <w:bookmarkStart w:id="0" w:name="_GoBack"/>
      <w:bookmarkEnd w:id="0"/>
      <w:r>
        <w:rPr>
          <w:rFonts w:ascii="Times New Roman" w:eastAsia="仿宋_GB2312" w:cs="Times New Roman" w:hAnsi="Times New Roman"/>
          <w:kern w:val="0"/>
          <w:sz w:val="32"/>
          <w:szCs w:val="32"/>
        </w:rPr>
        <w:t>22年2月24日印发</w:t>
      </w:r>
    </w:p>
    <w:sectPr>
      <w:pgSz w:w="11906" w:h="16838"/>
      <w:pgMar w:top="2098" w:right="1588" w:bottom="1701" w:left="1588" w:header="851" w:footer="1247" w:gutter="0"/>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方正小标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 w:name="Arial">
    <w:altName w:val="DejaVu Sans"/>
    <w:panose1 w:val="020B0604020202020204"/>
    <w:charset w:val="00"/>
    <w:family w:val="auto"/>
    <w:pitch w:val="variable"/>
    <w:sig w:usb0="00007A87" w:usb1="80000000" w:usb2="00000008"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rPr>
        <w:rFonts w:ascii="Times New Roman" w:cs="Times New Roman" w:hAnsi="Times New Roman"/>
        <w:sz w:val="28"/>
        <w:szCs w:val="28"/>
      </w:rPr>
      <w:id w:val="1509499278"/>
      <w:docPartObj>
        <w:docPartGallery w:val="Page Numbers (Bottom of Page)"/>
        <w:docPartUnique/>
      </w:docPartObj>
    </w:sdtPr>
    <w:sdtContent>
      <w:p>
        <w:pPr>
          <w:pStyle w:val="16"/>
          <w:tabs>
            <w:tab w:val="center" w:pos="4153"/>
            <w:tab w:val="right" w:pos="8306"/>
          </w:tabs>
          <w:jc w:val="right"/>
          <w:rPr>
            <w:rFonts w:ascii="Times New Roman" w:cs="Times New Roman" w:hAnsi="Times New Roman"/>
            <w:sz w:val="28"/>
            <w:szCs w:val="28"/>
          </w:rPr>
        </w:pPr>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3</w:t>
        </w:r>
        <w:r>
          <w:rPr>
            <w:rFonts w:ascii="Times New Roman" w:cs="Times New Roman" w:hAnsi="Times New Roman"/>
            <w:sz w:val="28"/>
            <w:szCs w:val="28"/>
          </w:rPr>
          <w:fldChar w:fldCharType="end"/>
        </w:r>
        <w:r>
          <w:rPr>
            <w:rFonts w:ascii="Times New Roman" w:cs="Times New Roman" w:hAnsi="Times New Roman"/>
            <w:sz w:val="28"/>
            <w:szCs w:val="28"/>
          </w:rPr>
          <w:t xml:space="preserve"> —</w:t>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rPr>
        <w:rFonts w:ascii="Times New Roman" w:cs="Times New Roman" w:hAnsi="Times New Roman"/>
        <w:sz w:val="28"/>
        <w:szCs w:val="28"/>
      </w:rPr>
    </w:pPr>
    <w:sdt>
      <w:sdtPr>
        <w:rPr>
          <w:rFonts w:ascii="Times New Roman" w:cs="Times New Roman" w:hAnsi="Times New Roman"/>
          <w:sz w:val="28"/>
          <w:szCs w:val="28"/>
        </w:rPr>
        <w:id w:val="-776767658"/>
        <w:docPartObj>
          <w:docPartGallery w:val="Page Numbers (Bottom of Page)"/>
          <w:docPartUnique/>
        </w:docPartObj>
      </w:sdtPr>
      <w:sdtContent>
        <w:r>
          <w:rPr>
            <w:rFonts w:ascii="Times New Roman" w:cs="Times New Roman" w:hAnsi="Times New Roman"/>
            <w:sz w:val="28"/>
            <w:szCs w:val="28"/>
          </w:rPr>
          <w:t xml:space="preserve">— </w:t>
        </w: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4</w:t>
        </w:r>
        <w:r>
          <w:rPr>
            <w:rFonts w:ascii="Times New Roman" w:cs="Times New Roman" w:hAnsi="Times New Roman"/>
            <w:sz w:val="28"/>
            <w:szCs w:val="28"/>
          </w:rPr>
          <w:fldChar w:fldCharType="end"/>
        </w:r>
        <w:r>
          <w:rPr>
            <w:rFonts w:ascii="Times New Roman" w:cs="Times New Roman" w:hAnsi="Times New Roman"/>
            <w:sz w:val="28"/>
            <w:szCs w:val="28"/>
          </w:rPr>
          <w:t xml:space="preserve"> </w:t>
        </w:r>
      </w:sdtContent>
    </w:sdt>
    <w:r>
      <w:rPr>
        <w:rFonts w:ascii="Times New Roman" w:cs="Times New Roman" w:hAnsi="Times New Roman"/>
        <w:sz w:val="28"/>
        <w:szCs w:val="28"/>
      </w:rPr>
      <w:t>—</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List Paragraph"/>
    <w:basedOn w:val="0"/>
    <w:pPr>
      <w:ind w:firstLineChars="200" w:firstLine="200"/>
    </w:pPr>
  </w:style>
  <w:style w:type="paragraph" w:styleId="18">
    <w:name w:val="Normal (Web)"/>
    <w:basedOn w:val="0"/>
    <w:pPr>
      <w:widowControl/>
      <w:spacing w:before="100" w:beforeAutospacing="1" w:after="100" w:afterAutospacing="1"/>
      <w:jc w:val="left"/>
    </w:pPr>
    <w:rPr>
      <w:rFonts w:ascii="宋体" w:eastAsia="宋体" w:cs="宋体"/>
      <w:kern w:val="0"/>
      <w:sz w:val="24"/>
      <w:szCs w:val="24"/>
    </w:rPr>
  </w:style>
  <w:style w:type="paragraph" w:styleId="19">
    <w:name w:val="Balloon Text"/>
    <w:basedOn w:val="0"/>
    <w:rPr>
      <w:sz w:val="18"/>
      <w:szCs w:val="18"/>
    </w:rPr>
  </w:style>
  <w:style w:type="character" w:styleId="20">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11</Pages>
  <Words>3398</Words>
  <Characters>4794</Characters>
  <Lines>977</Lines>
  <Paragraphs>621</Paragraphs>
  <CharactersWithSpaces>4843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刘祁</dc:creator>
  <cp:lastModifiedBy>casic</cp:lastModifiedBy>
  <cp:revision>2</cp:revision>
  <cp:lastPrinted>2022-02-24T08:17:00Z</cp:lastPrinted>
  <dcterms:created xsi:type="dcterms:W3CDTF">2022-03-16T02:48:00Z</dcterms:created>
  <dcterms:modified xsi:type="dcterms:W3CDTF">2025-10-16T07:30:27Z</dcterms:modified>
</cp:coreProperties>
</file>