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Times New Roman" w:eastAsia="方正小标宋_GBK" w:cs="Times New Roman" w:hAnsi="Times New Roman"/>
          <w:snapToGrid w:val="0"/>
          <w:kern w:val="0"/>
          <w:sz w:val="44"/>
          <w:szCs w:val="36"/>
        </w:rPr>
      </w:pPr>
      <w:bookmarkStart w:id="0" w:name="_GoBack"/>
      <w:bookmarkEnd w:id="0"/>
      <w:r>
        <w:rPr>
          <w:rFonts w:ascii="Times New Roman" w:eastAsia="方正小标宋_GBK" w:cs="Times New Roman" w:hAnsi="Times New Roman"/>
          <w:snapToGrid w:val="0"/>
          <w:kern w:val="0"/>
          <w:sz w:val="44"/>
          <w:szCs w:val="36"/>
        </w:rPr>
        <w:t>关于扩大完善我市城镇职工基本医疗保险</w:t>
      </w:r>
    </w:p>
    <w:p>
      <w:pPr>
        <w:spacing w:line="560" w:lineRule="exact"/>
        <w:jc w:val="center"/>
        <w:rPr>
          <w:rFonts w:ascii="Times New Roman" w:eastAsia="方正小标宋_GBK" w:cs="Times New Roman" w:hAnsi="Times New Roman"/>
          <w:snapToGrid w:val="0"/>
          <w:kern w:val="0"/>
          <w:sz w:val="44"/>
          <w:szCs w:val="36"/>
        </w:rPr>
      </w:pPr>
      <w:r>
        <w:rPr>
          <w:rFonts w:ascii="Times New Roman" w:eastAsia="方正小标宋_GBK" w:cs="Times New Roman" w:hAnsi="Times New Roman"/>
          <w:snapToGrid w:val="0"/>
          <w:kern w:val="0"/>
          <w:sz w:val="44"/>
          <w:szCs w:val="36"/>
        </w:rPr>
        <w:t>按病种付费结算范围的通知</w:t>
      </w:r>
    </w:p>
    <w:p>
      <w:pPr>
        <w:spacing w:line="560" w:lineRule="exact"/>
        <w:jc w:val="center"/>
        <w:rPr>
          <w:rFonts w:ascii="Times New Roman" w:eastAsia="方正小标宋_GBK" w:cs="Times New Roman" w:hAnsi="Times New Roman"/>
          <w:snapToGrid w:val="0"/>
          <w:kern w:val="0"/>
          <w:sz w:val="44"/>
          <w:szCs w:val="44"/>
        </w:rPr>
      </w:pPr>
    </w:p>
    <w:p>
      <w:pPr>
        <w:spacing w:line="560" w:lineRule="exact"/>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各医保分局，江北新区教育和社会保障局，市、区医保中心，各有关医疗机构：</w:t>
      </w:r>
    </w:p>
    <w:p>
      <w:pPr>
        <w:spacing w:line="560" w:lineRule="exact"/>
        <w:ind w:firstLineChars="200" w:firstLine="64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根据《省政府办公厅关于进一步深化基本医疗保险支付方式改革的实施意见》（苏政办发〔2018〕6号）要求，为深入推进我市医疗保险支付方式改革，促进定点医疗机构合理使用医疗资源，控制医疗费用不合理增长，提高医保基金使用效能，现就扩大完善我市按病种付费结算有关工作通知如下：</w:t>
      </w:r>
    </w:p>
    <w:p>
      <w:pPr>
        <w:spacing w:line="560" w:lineRule="exact"/>
        <w:ind w:firstLineChars="200" w:firstLine="640"/>
        <w:rPr>
          <w:rFonts w:ascii="Times New Roman" w:eastAsia="黑体" w:cs="Times New Roman" w:hAnsi="Times New Roman"/>
          <w:snapToGrid w:val="0"/>
          <w:kern w:val="0"/>
          <w:sz w:val="32"/>
          <w:szCs w:val="32"/>
        </w:rPr>
      </w:pPr>
      <w:r>
        <w:rPr>
          <w:rFonts w:ascii="Times New Roman" w:eastAsia="黑体" w:cs="Times New Roman" w:hAnsi="Times New Roman"/>
          <w:snapToGrid w:val="0"/>
          <w:kern w:val="0"/>
          <w:sz w:val="32"/>
          <w:szCs w:val="32"/>
        </w:rPr>
        <w:t>一、扩大完善按病种付费范围</w:t>
      </w:r>
    </w:p>
    <w:p>
      <w:pPr>
        <w:spacing w:line="560" w:lineRule="exact"/>
        <w:ind w:firstLineChars="200" w:firstLine="640"/>
        <w:rPr>
          <w:rFonts w:ascii="Times New Roman" w:eastAsia="仿宋_GB2312" w:cs="Times New Roman" w:hAnsi="Times New Roman"/>
          <w:snapToGrid w:val="0"/>
          <w:kern w:val="0"/>
          <w:sz w:val="32"/>
          <w:szCs w:val="32"/>
        </w:rPr>
      </w:pPr>
      <w:r>
        <w:rPr>
          <w:rFonts w:ascii="Times New Roman" w:eastAsia="楷体_GB2312" w:cs="Times New Roman" w:hAnsi="Times New Roman"/>
          <w:snapToGrid w:val="0"/>
          <w:kern w:val="0"/>
          <w:sz w:val="32"/>
          <w:szCs w:val="32"/>
        </w:rPr>
        <w:t>（一）扩大按病种付费范围。</w:t>
      </w:r>
      <w:r>
        <w:rPr>
          <w:rFonts w:ascii="Times New Roman" w:eastAsia="仿宋_GB2312" w:cs="Times New Roman" w:hAnsi="Times New Roman"/>
          <w:snapToGrid w:val="0"/>
          <w:kern w:val="0"/>
          <w:sz w:val="32"/>
          <w:szCs w:val="32"/>
        </w:rPr>
        <w:t>将宫颈上皮内肿瘤等55个病种新增纳入我市城镇职工基本医疗保险按病种付费结算范围。</w:t>
      </w:r>
    </w:p>
    <w:p>
      <w:pPr>
        <w:spacing w:line="560" w:lineRule="exact"/>
        <w:ind w:firstLineChars="200" w:firstLine="640"/>
        <w:rPr>
          <w:rFonts w:ascii="Times New Roman" w:eastAsia="仿宋_GB2312" w:cs="Times New Roman" w:hAnsi="Times New Roman"/>
          <w:snapToGrid w:val="0"/>
          <w:kern w:val="0"/>
          <w:sz w:val="32"/>
          <w:szCs w:val="32"/>
        </w:rPr>
      </w:pPr>
      <w:r>
        <w:rPr>
          <w:rFonts w:ascii="Times New Roman" w:eastAsia="楷体_GB2312" w:cs="Times New Roman" w:hAnsi="Times New Roman"/>
          <w:snapToGrid w:val="0"/>
          <w:kern w:val="0"/>
          <w:sz w:val="32"/>
          <w:szCs w:val="32"/>
        </w:rPr>
        <w:t>（二）完善部分现行按病种付费内容。</w:t>
      </w:r>
      <w:r>
        <w:rPr>
          <w:rFonts w:ascii="Times New Roman" w:eastAsia="仿宋_GB2312" w:cs="Times New Roman" w:hAnsi="Times New Roman"/>
          <w:snapToGrid w:val="0"/>
          <w:kern w:val="0"/>
          <w:sz w:val="32"/>
          <w:szCs w:val="32"/>
        </w:rPr>
        <w:t>根据医疗临床技术及医疗服务项目价格变动情况，结合我市临床实践，调整完善现行冠状动脉狭窄等17个病种费用标准。</w:t>
      </w:r>
    </w:p>
    <w:p>
      <w:pPr>
        <w:spacing w:line="560" w:lineRule="exact"/>
        <w:ind w:firstLineChars="200" w:firstLine="640"/>
        <w:rPr>
          <w:rFonts w:ascii="Times New Roman" w:eastAsia="黑体" w:cs="Times New Roman" w:hAnsi="Times New Roman"/>
          <w:snapToGrid w:val="0"/>
          <w:kern w:val="0"/>
          <w:sz w:val="32"/>
          <w:szCs w:val="32"/>
        </w:rPr>
      </w:pPr>
      <w:r>
        <w:rPr>
          <w:rFonts w:ascii="Times New Roman" w:eastAsia="黑体" w:cs="Times New Roman" w:hAnsi="Times New Roman"/>
          <w:snapToGrid w:val="0"/>
          <w:kern w:val="0"/>
          <w:sz w:val="32"/>
          <w:szCs w:val="32"/>
        </w:rPr>
        <w:t>二、制定按病种费用标准</w:t>
      </w:r>
    </w:p>
    <w:p>
      <w:pPr>
        <w:spacing w:line="560" w:lineRule="exact"/>
        <w:ind w:firstLineChars="200" w:firstLine="64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根据定点医疗机构2017年度至2019年度历史费用发生情况，参考诊疗项目价格变动等政策性因素，经过专家论证，确定定点医疗机构符合基本医疗保险支付范围的费用（指定的植入类高值耗材除外）的定额结算标准。具体病种名称及费用标准详见附件。</w:t>
      </w:r>
    </w:p>
    <w:p>
      <w:pPr>
        <w:spacing w:line="560" w:lineRule="exact"/>
        <w:ind w:firstLineChars="200" w:firstLine="64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上述扩大完善单病种的费用结算、案例调整以及监督管理按《关于城镇职工基本医疗保险试行部分按病种付费有关工作的通知》（宁人社〔2015〕121号）相关规定执行。</w:t>
      </w:r>
    </w:p>
    <w:p>
      <w:pPr>
        <w:spacing w:line="560" w:lineRule="exact"/>
        <w:ind w:firstLineChars="200" w:firstLine="64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本通知自2021年6月1日起执行。</w:t>
      </w:r>
    </w:p>
    <w:p>
      <w:pPr>
        <w:spacing w:line="560" w:lineRule="exact"/>
        <w:ind w:firstLineChars="200" w:firstLine="640"/>
        <w:rPr>
          <w:rFonts w:ascii="Times New Roman" w:eastAsia="仿宋_GB2312" w:cs="Times New Roman" w:hAnsi="Times New Roman"/>
          <w:snapToGrid w:val="0"/>
          <w:kern w:val="0"/>
          <w:sz w:val="32"/>
          <w:szCs w:val="32"/>
        </w:rPr>
      </w:pPr>
    </w:p>
    <w:p>
      <w:pPr>
        <w:spacing w:line="560" w:lineRule="exact"/>
        <w:ind w:firstLineChars="200" w:firstLine="64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附件：1. 扩大按病种付费的病种定额支付标准</w:t>
      </w:r>
    </w:p>
    <w:p>
      <w:pPr>
        <w:spacing w:line="560" w:lineRule="exact"/>
        <w:ind w:firstLineChars="500" w:firstLine="160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2. 完善按病种付费的病种定额支付标准</w:t>
      </w:r>
    </w:p>
    <w:p>
      <w:pPr>
        <w:spacing w:line="560" w:lineRule="exact"/>
        <w:ind w:firstLineChars="500" w:firstLine="1600"/>
        <w:rPr>
          <w:rFonts w:ascii="Times New Roman" w:eastAsia="仿宋_GB2312" w:cs="Times New Roman" w:hAnsi="Times New Roman"/>
          <w:snapToGrid w:val="0"/>
          <w:kern w:val="0"/>
          <w:sz w:val="32"/>
          <w:szCs w:val="32"/>
        </w:rPr>
      </w:pPr>
    </w:p>
    <w:p>
      <w:pPr>
        <w:spacing w:line="560" w:lineRule="exact"/>
        <w:rPr>
          <w:rFonts w:ascii="Times New Roman" w:eastAsia="仿宋_GB2312" w:cs="Times New Roman" w:hAnsi="Times New Roman"/>
          <w:snapToGrid w:val="0"/>
          <w:kern w:val="0"/>
          <w:sz w:val="32"/>
          <w:szCs w:val="32"/>
        </w:rPr>
      </w:pPr>
    </w:p>
    <w:p>
      <w:pPr>
        <w:spacing w:line="560" w:lineRule="exact"/>
        <w:rPr>
          <w:rFonts w:ascii="Times New Roman" w:eastAsia="仿宋_GB2312" w:cs="Times New Roman" w:hAnsi="Times New Roman"/>
          <w:snapToGrid w:val="0"/>
          <w:kern w:val="0"/>
          <w:sz w:val="32"/>
          <w:szCs w:val="32"/>
        </w:rPr>
      </w:pPr>
    </w:p>
    <w:p>
      <w:pPr>
        <w:spacing w:line="560" w:lineRule="exact"/>
        <w:ind w:firstLineChars="400" w:firstLine="128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南京市医疗保障局             南 京 市 财 政 局</w:t>
      </w:r>
    </w:p>
    <w:p>
      <w:pPr>
        <w:spacing w:line="560" w:lineRule="exact"/>
        <w:ind w:firstLineChars="1300" w:firstLine="4160"/>
        <w:rPr>
          <w:rFonts w:ascii="Times New Roman" w:eastAsia="仿宋_GB2312" w:cs="Times New Roman" w:hAnsi="Times New Roman"/>
          <w:snapToGrid w:val="0"/>
          <w:kern w:val="0"/>
          <w:sz w:val="32"/>
          <w:szCs w:val="32"/>
        </w:rPr>
      </w:pPr>
    </w:p>
    <w:p>
      <w:pPr>
        <w:spacing w:line="560" w:lineRule="exact"/>
        <w:ind w:firstLineChars="1900" w:firstLine="608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2021年6月</w:t>
      </w:r>
      <w:r>
        <w:rPr>
          <w:rFonts w:ascii="Times New Roman" w:eastAsia="仿宋_GB2312" w:cs="Times New Roman" w:hAnsi="Times New Roman" w:hint="eastAsia"/>
          <w:snapToGrid w:val="0"/>
          <w:kern w:val="0"/>
          <w:sz w:val="32"/>
          <w:szCs w:val="32"/>
        </w:rPr>
        <w:t>10</w:t>
      </w:r>
      <w:r>
        <w:rPr>
          <w:rFonts w:ascii="Times New Roman" w:eastAsia="仿宋_GB2312" w:cs="Times New Roman" w:hAnsi="Times New Roman"/>
          <w:snapToGrid w:val="0"/>
          <w:kern w:val="0"/>
          <w:sz w:val="32"/>
          <w:szCs w:val="32"/>
        </w:rPr>
        <w:t>日</w:t>
      </w:r>
    </w:p>
    <w:p>
      <w:pPr>
        <w:spacing w:line="560" w:lineRule="exact"/>
        <w:rPr>
          <w:rFonts w:ascii="Times New Roman" w:eastAsia="方正小标宋_GBK" w:cs="Times New Roman" w:hAnsi="Times New Roman"/>
          <w:snapToGrid w:val="0"/>
          <w:kern w:val="0"/>
          <w:sz w:val="32"/>
          <w:szCs w:val="32"/>
        </w:rPr>
      </w:pPr>
    </w:p>
    <w:p>
      <w:pPr>
        <w:rPr>
          <w:rFonts w:ascii="Times New Roman" w:eastAsia="宋体" w:cs="Times New Roman" w:hAnsi="Times New Roman"/>
          <w:snapToGrid w:val="0"/>
          <w:kern w:val="0"/>
        </w:rPr>
      </w:pPr>
    </w:p>
    <w:p>
      <w:pPr>
        <w:rPr>
          <w:rFonts w:ascii="Times New Roman" w:cs="Times New Roman" w:hAnsi="Times New Roman"/>
          <w:snapToGrid w:val="0"/>
          <w:kern w:val="0"/>
        </w:rPr>
      </w:pPr>
    </w:p>
    <w:p>
      <w:pPr>
        <w:spacing w:line="580" w:lineRule="exact"/>
        <w:rPr>
          <w:rFonts w:ascii="Times New Roman" w:eastAsia="仿宋_GB2312" w:cs="Times New Roman" w:hAnsi="Times New Roman"/>
          <w:sz w:val="32"/>
          <w:szCs w:val="32"/>
        </w:rPr>
      </w:pPr>
    </w:p>
    <w:p>
      <w:pPr>
        <w:spacing w:line="580" w:lineRule="exact"/>
        <w:rPr>
          <w:rFonts w:ascii="Times New Roman" w:eastAsia="仿宋_GB2312" w:cs="Times New Roman" w:hAnsi="Times New Roman"/>
          <w:sz w:val="32"/>
          <w:szCs w:val="32"/>
        </w:rPr>
      </w:pPr>
    </w:p>
    <w:p>
      <w:pPr>
        <w:widowControl/>
        <w:jc w:val="left"/>
        <w:rPr>
          <w:rFonts w:ascii="Times New Roman" w:eastAsia="仿宋_GB2312" w:cs="Times New Roman" w:hAnsi="Times New Roman"/>
          <w:sz w:val="32"/>
          <w:szCs w:val="32"/>
        </w:rPr>
        <w:sectPr>
          <w:footerReference w:type="default" r:id="rId2"/>
          <w:footerReference w:type="even" r:id="rId3"/>
          <w:pgSz w:w="11906" w:h="16838"/>
          <w:pgMar w:top="2098" w:right="1588" w:bottom="1701" w:left="1588" w:header="851" w:footer="992" w:gutter="0"/>
          <w:pgNumType w:fmt="numberInDash"/>
          <w:docGrid w:type="lines" w:linePitch="312" w:charSpace="0"/>
        </w:sectPr>
      </w:pPr>
    </w:p>
    <w:p>
      <w:pPr>
        <w:widowControl/>
        <w:jc w:val="left"/>
        <w:rPr>
          <w:rFonts w:ascii="Times New Roman" w:eastAsia="黑体" w:cs="Times New Roman" w:hAnsi="Times New Roman"/>
          <w:sz w:val="32"/>
          <w:szCs w:val="32"/>
        </w:rPr>
      </w:pPr>
      <w:r>
        <w:rPr>
          <w:rFonts w:ascii="Times New Roman" w:eastAsia="黑体" w:cs="Times New Roman" w:hAnsi="Times New Roman"/>
          <w:sz w:val="32"/>
          <w:szCs w:val="32"/>
        </w:rPr>
        <w:t>附件1</w:t>
      </w:r>
    </w:p>
    <w:p>
      <w:pPr>
        <w:spacing w:line="560" w:lineRule="exact"/>
        <w:jc w:val="center"/>
        <w:rPr>
          <w:rFonts w:ascii="Times New Roman" w:eastAsia="方正小标宋_GBK" w:cs="Times New Roman" w:hAnsi="Times New Roman"/>
          <w:snapToGrid w:val="0"/>
          <w:kern w:val="0"/>
          <w:sz w:val="44"/>
          <w:szCs w:val="36"/>
        </w:rPr>
      </w:pPr>
      <w:r>
        <w:rPr>
          <w:rFonts w:ascii="Times New Roman" w:eastAsia="方正小标宋_GBK" w:cs="Times New Roman" w:hAnsi="Times New Roman"/>
          <w:snapToGrid w:val="0"/>
          <w:kern w:val="0"/>
          <w:sz w:val="44"/>
          <w:szCs w:val="36"/>
        </w:rPr>
        <w:t>扩大按病种付费的病种定额支付标准</w:t>
      </w:r>
    </w:p>
    <w:tbl>
      <w:tblPr>
        <w:jc w:val="center"/>
        <w:tblW w:w="14612"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66"/>
        <w:gridCol w:w="1641"/>
        <w:gridCol w:w="3161"/>
        <w:gridCol w:w="1535"/>
        <w:gridCol w:w="2450"/>
        <w:gridCol w:w="1914"/>
        <w:gridCol w:w="1914"/>
        <w:gridCol w:w="1131"/>
      </w:tblGrid>
      <w:tr>
        <w:trPr>
          <w:cantSplit/>
          <w:trHeight w:val="340"/>
          <w:tblHeader/>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序号</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病种名称</w:t>
            </w:r>
          </w:p>
        </w:tc>
        <w:tc>
          <w:tcPr>
            <w:tcW w:w="31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手术方式</w:t>
            </w:r>
          </w:p>
        </w:tc>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手术编码</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手术方式组合</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三级医院定额</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二级医院定额</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备注</w:t>
            </w:r>
          </w:p>
        </w:tc>
      </w:tr>
      <w:tr>
        <w:trPr>
          <w:cantSplit/>
          <w:trHeight w:val="624"/>
        </w:trPr>
        <w:tc>
          <w:tcPr>
            <w:tcW w:w="866" w:type="dxa"/>
            <w:vMerge/>
            <w:tcBorders>
              <w:top w:val="single" w:sz="4" w:space="0" w:color="auto"/>
              <w:left w:val="single" w:sz="4" w:space="0" w:color="auto"/>
              <w:bottom w:val="single" w:sz="4" w:space="0" w:color="auto"/>
              <w:right w:val="single" w:sz="4" w:space="0" w:color="auto"/>
            </w:tcBorders>
            <w:vAlign w:val="center"/>
          </w:tcPr>
          <w:p/>
        </w:tc>
        <w:tc>
          <w:tcPr>
            <w:tcW w:w="1641" w:type="dxa"/>
            <w:vMerge/>
            <w:tcBorders>
              <w:top w:val="single" w:sz="4" w:space="0" w:color="auto"/>
              <w:left w:val="single" w:sz="4" w:space="0" w:color="auto"/>
              <w:bottom w:val="single" w:sz="4" w:space="0" w:color="auto"/>
              <w:right w:val="single" w:sz="4" w:space="0" w:color="auto"/>
            </w:tcBorders>
            <w:vAlign w:val="center"/>
          </w:tcPr>
          <w:p/>
        </w:tc>
        <w:tc>
          <w:tcPr>
            <w:tcW w:w="3161" w:type="dxa"/>
            <w:vMerge/>
            <w:tcBorders>
              <w:top w:val="single" w:sz="4" w:space="0" w:color="auto"/>
              <w:left w:val="single" w:sz="4" w:space="0" w:color="auto"/>
              <w:bottom w:val="single" w:sz="4" w:space="0" w:color="auto"/>
              <w:right w:val="single" w:sz="4" w:space="0" w:color="auto"/>
            </w:tcBorders>
            <w:vAlign w:val="center"/>
          </w:tcPr>
          <w:p/>
        </w:tc>
        <w:tc>
          <w:tcPr>
            <w:tcW w:w="1535" w:type="dxa"/>
            <w:vMerge/>
            <w:tcBorders>
              <w:top w:val="single" w:sz="4" w:space="0" w:color="auto"/>
              <w:left w:val="single" w:sz="4" w:space="0" w:color="auto"/>
              <w:bottom w:val="single" w:sz="4" w:space="0" w:color="auto"/>
              <w:right w:val="single" w:sz="4" w:space="0" w:color="auto"/>
            </w:tcBorders>
            <w:vAlign w:val="center"/>
          </w:tcPr>
          <w:p/>
        </w:tc>
        <w:tc>
          <w:tcPr>
            <w:tcW w:w="2450" w:type="dxa"/>
            <w:vMerge/>
            <w:tcBorders>
              <w:top w:val="single" w:sz="4" w:space="0" w:color="auto"/>
              <w:left w:val="single" w:sz="4" w:space="0" w:color="auto"/>
              <w:bottom w:val="single" w:sz="4" w:space="0" w:color="auto"/>
              <w:right w:val="single" w:sz="4" w:space="0" w:color="auto"/>
            </w:tcBorders>
            <w:vAlign w:val="center"/>
          </w:tcPr>
          <w:p/>
        </w:tc>
        <w:tc>
          <w:tcPr>
            <w:tcW w:w="1914" w:type="dxa"/>
            <w:vMerge/>
            <w:tcBorders>
              <w:top w:val="single" w:sz="4" w:space="0" w:color="auto"/>
              <w:left w:val="single" w:sz="4" w:space="0" w:color="auto"/>
              <w:bottom w:val="single" w:sz="4" w:space="0" w:color="auto"/>
              <w:right w:val="single" w:sz="4" w:space="0" w:color="auto"/>
            </w:tcBorders>
            <w:vAlign w:val="center"/>
          </w:tcPr>
          <w:p/>
        </w:tc>
        <w:tc>
          <w:tcPr>
            <w:tcW w:w="1914" w:type="dxa"/>
            <w:vMerge/>
            <w:tcBorders>
              <w:top w:val="single" w:sz="4" w:space="0" w:color="auto"/>
              <w:left w:val="single" w:sz="4" w:space="0" w:color="auto"/>
              <w:bottom w:val="single" w:sz="4" w:space="0" w:color="auto"/>
              <w:right w:val="single" w:sz="4" w:space="0" w:color="auto"/>
            </w:tcBorders>
            <w:vAlign w:val="center"/>
          </w:tcPr>
          <w:p/>
        </w:tc>
        <w:tc>
          <w:tcPr>
            <w:tcW w:w="1131" w:type="dxa"/>
            <w:vMerge/>
            <w:tcBorders>
              <w:top w:val="single" w:sz="4" w:space="0" w:color="auto"/>
              <w:left w:val="single" w:sz="4" w:space="0" w:color="auto"/>
              <w:bottom w:val="single" w:sz="4" w:space="0" w:color="auto"/>
              <w:right w:val="single" w:sz="4" w:space="0" w:color="auto"/>
            </w:tcBorders>
            <w:vAlign w:val="center"/>
          </w:tcP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宫颈上皮内肿瘤</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宫颈锥形切除术（宫颈环形电切术使用Leep刀）</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331303004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331303005-a</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4900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宫颈锥形切除术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331303004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7100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5500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会厌囊肿</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会厌良性肿瘤切除术（单侧非内镜）</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330701038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9000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6200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会厌良性肿瘤切除术（单侧内镜加收）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330701038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33-b</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9600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8000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5 </w:t>
            </w:r>
          </w:p>
        </w:tc>
        <w:tc>
          <w:tcPr>
            <w:tcW w:w="1641"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腕管综合征</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腕管综合症切开减压术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331522009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9500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9100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6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喉良性肿物</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喉良性肿瘤切除术（单侧，电显/微创加收）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330701022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33-b/33-i</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9800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8300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7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喉良性肿瘤切除术（单侧，内镜下使用气管内管加收）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330701022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3301-a</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10500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8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喉良性肿瘤切除术（双侧，电显/微创加收）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330701022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33-b/33-i</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11400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8900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9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上颌骨囊肿</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颌骨良性病变切除术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330605013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10000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10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上颌骨部分切除术（合并颌骨良性病变切除术）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330605009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330605013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10800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11 </w:t>
            </w:r>
          </w:p>
        </w:tc>
        <w:tc>
          <w:tcPr>
            <w:tcW w:w="1641"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尿道肿物</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尿道良性肿物切除术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331104008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10100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7600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12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直肠脱垂</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直肠出血缝扎术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331004001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10500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6600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13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经肛门直肠脱垂手术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331004016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16100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9200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14 </w:t>
            </w:r>
          </w:p>
        </w:tc>
        <w:tc>
          <w:tcPr>
            <w:tcW w:w="1641"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甲状腺舌管囊肿（瘘）</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甲状舌管瘘切除术（非肿瘤）</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330300015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10800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8100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15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宋体" w:cs="Times New Roman" w:hAnsi="Times New Roman"/>
                <w:color w:val="000000"/>
                <w:kern w:val="0"/>
                <w:sz w:val="22"/>
              </w:rPr>
              <w:t>腘</w:t>
            </w:r>
            <w:r>
              <w:rPr>
                <w:rFonts w:ascii="Times New Roman" w:eastAsia="仿宋_GB2312" w:cs="Times New Roman" w:hAnsi="Times New Roman"/>
                <w:color w:val="000000"/>
                <w:kern w:val="0"/>
                <w:sz w:val="22"/>
              </w:rPr>
              <w:t>窝囊肿</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宋体" w:cs="Times New Roman" w:hAnsi="Times New Roman"/>
                <w:kern w:val="0"/>
                <w:sz w:val="22"/>
              </w:rPr>
              <w:t>腘</w:t>
            </w:r>
            <w:r>
              <w:rPr>
                <w:rFonts w:ascii="Times New Roman" w:eastAsia="仿宋_GB2312" w:cs="Times New Roman" w:hAnsi="Times New Roman"/>
                <w:kern w:val="0"/>
                <w:sz w:val="22"/>
              </w:rPr>
              <w:t>窝囊肿切除术（非内镜）</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331506022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10900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7700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16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宋体" w:cs="Times New Roman" w:hAnsi="Times New Roman"/>
                <w:kern w:val="0"/>
                <w:sz w:val="22"/>
              </w:rPr>
              <w:t>腘</w:t>
            </w:r>
            <w:r>
              <w:rPr>
                <w:rFonts w:ascii="Times New Roman" w:eastAsia="仿宋_GB2312" w:cs="Times New Roman" w:hAnsi="Times New Roman"/>
                <w:kern w:val="0"/>
                <w:sz w:val="22"/>
              </w:rPr>
              <w:t>窝囊肿切除术（内镜加收）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331506022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33-b</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16400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17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腮腺区肿物</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腮腺浅叶肿物切除术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330605027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12300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18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腮腺浅叶肿物切除术（超声切割止血刀加收）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330605027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33-d</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14000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19 </w:t>
            </w:r>
          </w:p>
        </w:tc>
        <w:tc>
          <w:tcPr>
            <w:tcW w:w="1641"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肛周常见病</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肛周常见疾病手术治疗(超声多普勒引导下痔动脉结扎术)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331004035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13100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20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 半月板损伤</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半月板切除术（内镜加收）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331506019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33-b</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17600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14700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21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半月板切除术（膝关节清理术）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331506019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331506020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18300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16200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22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半月板切除术（关节滑膜切除术，大）</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331506019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331506016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20500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14700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23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甲状腺恶性肿瘤</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甲状腺癌根治术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330300011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17800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24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甲状腺癌根治术（超声切割止血刀加收）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330300011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33-d</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19100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16500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25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甲状腺癌扩大根治术（超声切割止血刀加收）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330300012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33-d</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23100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18800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26 </w:t>
            </w:r>
          </w:p>
        </w:tc>
        <w:tc>
          <w:tcPr>
            <w:tcW w:w="1641"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膝盖疾病</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膝关节清理术（内镜加收）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331506020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33-b</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19600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18000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27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肾囊肿</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肾囊肿切除术（腹腔镜加收）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331101014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33-a</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21400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17500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28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肾囊肿切除术（超声切割止血刀加收）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331101014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33-d</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22200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18200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29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肩关节疾病</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上肢关节松解术（内镜加收）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331512019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33-b</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22700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21300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30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上肢关节松解术（关节滑膜切除术（大），内镜加收）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331512019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33-b+331506016</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18000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植入性锚钉除外</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31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肩关节脱位</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肩锁关节脱位切开复位内固定术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331506001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23000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18800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32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肩关节脱位切开复位术（关节镜加收）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331506002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33-b</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18000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植入性锚钉除外</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33 </w:t>
            </w:r>
          </w:p>
        </w:tc>
        <w:tc>
          <w:tcPr>
            <w:tcW w:w="1641"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肾上腺肿物</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肾上腺切除术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330300021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27500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34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肩袖损伤</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关节肩峰下减压术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331506026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27500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22700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35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肩袖破裂修补术（单侧）</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331522008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31000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27600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36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胆囊结石</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经胆道镜胆道结石取出术（腹腔镜）</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310905014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33-a</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31000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19200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37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经胆道镜胆道结石取出术（胆囊切除术）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310905014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331006002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33200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24600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38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骨质疏松性椎体压缩性骨折及椎体肿瘤</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经皮椎体成形术（1个）</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331501059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32400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30700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39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经皮椎体成形术（2个）</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331501059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40400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40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经皮椎体成形术（3个及以上）</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331501059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44000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41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前列腺癌</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前列腺癌根治术（内窥镜手术器械控制系统加收）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331201001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33-k</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37500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42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前列腺癌根治术（腹腔镜加收）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331201001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33-a</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48100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41800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43 </w:t>
            </w:r>
          </w:p>
        </w:tc>
        <w:tc>
          <w:tcPr>
            <w:tcW w:w="1641"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胃肠异物</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胃肠切开取异物（非腔镜）</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331002001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11500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10300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44 </w:t>
            </w:r>
          </w:p>
        </w:tc>
        <w:tc>
          <w:tcPr>
            <w:tcW w:w="1641"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三叉神经痛</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颅神经微血管减压术（电子显微镜加收）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330202007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33-b</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48300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45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翼状胬肉</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翼状胬肉切除（球结膜瓣复盖术）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330404007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330403005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2600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46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翼状胬肉切除（睑球粘连分离术）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330404007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330403001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3000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47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翼状胬肉切除＋角膜移植术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330404008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3100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2800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48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翼状胬肉切除术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330404007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49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翼状胬肉切除（合并结膜囊成形术）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330404007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330403004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3500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2800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50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翼状胬肉切除（睑球粘连分离术和结膜囊成形术）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330404007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330403001+330403004</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3700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3400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51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视网膜脱离</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视网膜脱离修复术</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330407004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6600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52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视网膜脱离修复术（玻璃体切割仪加收）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330407004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3304-a</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12000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53 </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精索静脉曲张</w:t>
            </w: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精索静脉曲张高位结扎分流</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331203006-a</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8700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54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精索静脉曲张高位结扎分流（电子显微镜加收）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331203006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33-b</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8900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86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55 </w:t>
            </w:r>
          </w:p>
        </w:tc>
        <w:tc>
          <w:tcPr>
            <w:tcW w:w="1641" w:type="dxa"/>
            <w:vMerge/>
            <w:tcBorders>
              <w:top w:val="nil"/>
              <w:left w:val="single" w:sz="4" w:space="0" w:color="auto"/>
              <w:bottom w:val="single" w:sz="4" w:space="0" w:color="auto"/>
              <w:right w:val="single" w:sz="4" w:space="0" w:color="auto"/>
            </w:tcBorders>
            <w:vAlign w:val="center"/>
          </w:tcPr>
          <w:p/>
        </w:tc>
        <w:tc>
          <w:tcPr>
            <w:tcW w:w="316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精索静脉曲张高位结扎分流（腹腔镜加收）</w:t>
            </w:r>
          </w:p>
        </w:tc>
        <w:tc>
          <w:tcPr>
            <w:tcW w:w="15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331203006 </w:t>
            </w:r>
          </w:p>
        </w:tc>
        <w:tc>
          <w:tcPr>
            <w:tcW w:w="245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33-a</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13500 </w:t>
            </w:r>
          </w:p>
        </w:tc>
        <w:tc>
          <w:tcPr>
            <w:tcW w:w="1914"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9800 </w:t>
            </w:r>
          </w:p>
        </w:tc>
        <w:tc>
          <w:tcPr>
            <w:tcW w:w="1131"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bl>
    <w:p>
      <w:pPr>
        <w:pStyle w:val="19"/>
        <w:spacing w:beforeLines="100" w:before="312" w:beforeAutospacing="0" w:after="0" w:afterAutospacing="0" w:line="580" w:lineRule="exact"/>
        <w:ind w:firstLineChars="550" w:firstLine="1760"/>
        <w:rPr>
          <w:rFonts w:ascii="Times New Roman" w:eastAsia="仿宋" w:cs="Times New Roman" w:hAnsi="Times New Roman"/>
          <w:color w:val="191919"/>
          <w:sz w:val="32"/>
          <w:szCs w:val="32"/>
        </w:rPr>
      </w:pPr>
    </w:p>
    <w:p>
      <w:pPr>
        <w:pStyle w:val="19"/>
        <w:spacing w:beforeLines="100" w:before="312" w:beforeAutospacing="0" w:after="0" w:afterAutospacing="0" w:line="580" w:lineRule="exact"/>
        <w:ind w:firstLineChars="550" w:firstLine="1760"/>
        <w:rPr>
          <w:rFonts w:ascii="Times New Roman" w:eastAsia="仿宋" w:cs="Times New Roman" w:hAnsi="Times New Roman"/>
          <w:color w:val="191919"/>
          <w:sz w:val="32"/>
          <w:szCs w:val="32"/>
        </w:rPr>
      </w:pPr>
    </w:p>
    <w:p>
      <w:pPr>
        <w:pStyle w:val="19"/>
        <w:spacing w:beforeLines="100" w:before="312" w:beforeAutospacing="0" w:after="0" w:afterAutospacing="0" w:line="580" w:lineRule="exact"/>
        <w:ind w:firstLineChars="550" w:firstLine="1760"/>
        <w:rPr>
          <w:rFonts w:ascii="Times New Roman" w:eastAsia="仿宋" w:cs="Times New Roman" w:hAnsi="Times New Roman"/>
          <w:color w:val="191919"/>
          <w:sz w:val="32"/>
          <w:szCs w:val="32"/>
        </w:rPr>
      </w:pPr>
    </w:p>
    <w:p>
      <w:pPr>
        <w:pStyle w:val="19"/>
        <w:spacing w:beforeLines="100" w:before="312" w:beforeAutospacing="0" w:after="0" w:afterAutospacing="0" w:line="580" w:lineRule="exact"/>
        <w:ind w:firstLineChars="550" w:firstLine="1760"/>
        <w:rPr>
          <w:rFonts w:ascii="Times New Roman" w:eastAsia="仿宋" w:cs="Times New Roman" w:hAnsi="Times New Roman"/>
          <w:color w:val="191919"/>
          <w:sz w:val="32"/>
          <w:szCs w:val="32"/>
        </w:rPr>
      </w:pPr>
    </w:p>
    <w:p>
      <w:pPr>
        <w:widowControl/>
        <w:jc w:val="left"/>
        <w:rPr>
          <w:rFonts w:ascii="Times New Roman" w:eastAsia="黑体" w:cs="Times New Roman" w:hAnsi="Times New Roman"/>
          <w:sz w:val="32"/>
          <w:szCs w:val="32"/>
        </w:rPr>
      </w:pPr>
      <w:r>
        <w:rPr>
          <w:rFonts w:ascii="Times New Roman" w:eastAsia="黑体" w:cs="Times New Roman" w:hAnsi="Times New Roman"/>
          <w:sz w:val="32"/>
          <w:szCs w:val="32"/>
        </w:rPr>
        <w:br w:type="page"/>
      </w:r>
    </w:p>
    <w:p>
      <w:pPr>
        <w:widowControl/>
        <w:jc w:val="left"/>
        <w:rPr>
          <w:rFonts w:ascii="Times New Roman" w:eastAsia="黑体" w:cs="Times New Roman" w:hAnsi="Times New Roman"/>
          <w:sz w:val="32"/>
          <w:szCs w:val="32"/>
        </w:rPr>
      </w:pPr>
      <w:r>
        <w:rPr>
          <w:rFonts w:ascii="Times New Roman" w:eastAsia="黑体" w:cs="Times New Roman" w:hAnsi="Times New Roman"/>
          <w:sz w:val="32"/>
          <w:szCs w:val="32"/>
        </w:rPr>
        <w:t>附件2</w:t>
      </w:r>
    </w:p>
    <w:p>
      <w:pPr>
        <w:spacing w:line="560" w:lineRule="exact"/>
        <w:jc w:val="center"/>
        <w:rPr>
          <w:rFonts w:ascii="Times New Roman" w:eastAsia="方正小标宋_GBK" w:cs="Times New Roman" w:hAnsi="Times New Roman"/>
          <w:snapToGrid w:val="0"/>
          <w:kern w:val="0"/>
          <w:sz w:val="44"/>
          <w:szCs w:val="36"/>
        </w:rPr>
      </w:pPr>
      <w:r>
        <w:rPr>
          <w:rFonts w:ascii="Times New Roman" w:eastAsia="方正小标宋_GBK" w:cs="Times New Roman" w:hAnsi="Times New Roman"/>
          <w:snapToGrid w:val="0"/>
          <w:kern w:val="0"/>
          <w:sz w:val="44"/>
          <w:szCs w:val="36"/>
        </w:rPr>
        <w:t>完善按病种付费的病种定额支付标准</w:t>
      </w:r>
    </w:p>
    <w:tbl>
      <w:tblPr>
        <w:jc w:val="center"/>
        <w:tblW w:w="14547"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40"/>
        <w:gridCol w:w="1540"/>
        <w:gridCol w:w="2257"/>
        <w:gridCol w:w="2120"/>
        <w:gridCol w:w="1835"/>
        <w:gridCol w:w="2280"/>
        <w:gridCol w:w="2120"/>
        <w:gridCol w:w="1255"/>
      </w:tblGrid>
      <w:tr>
        <w:trPr>
          <w:cantSplit/>
          <w:trHeight w:val="340"/>
          <w:tblHeader/>
        </w:trPr>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序号</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病种名称</w:t>
            </w:r>
          </w:p>
        </w:tc>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手术操作</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手术编码</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手术方式组合</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三级医院定额</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二级医院定额</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黑体" w:cs="Times New Roman" w:hAnsi="Times New Roman"/>
                <w:bCs/>
                <w:color w:val="000000"/>
                <w:kern w:val="0"/>
                <w:sz w:val="24"/>
                <w:szCs w:val="28"/>
              </w:rPr>
            </w:pPr>
            <w:r>
              <w:rPr>
                <w:rFonts w:ascii="Times New Roman" w:eastAsia="黑体" w:cs="Times New Roman" w:hAnsi="Times New Roman"/>
                <w:bCs/>
                <w:color w:val="000000"/>
                <w:kern w:val="0"/>
                <w:sz w:val="24"/>
                <w:szCs w:val="28"/>
              </w:rPr>
              <w:t>备注</w:t>
            </w:r>
          </w:p>
        </w:tc>
      </w:tr>
      <w:tr>
        <w:trPr>
          <w:cantSplit/>
          <w:trHeight w:val="624"/>
        </w:trPr>
        <w:tc>
          <w:tcPr>
            <w:tcW w:w="1140" w:type="dxa"/>
            <w:vMerge/>
            <w:tcBorders>
              <w:top w:val="single" w:sz="4" w:space="0" w:color="auto"/>
              <w:left w:val="single" w:sz="4" w:space="0" w:color="auto"/>
              <w:bottom w:val="single" w:sz="4" w:space="0" w:color="auto"/>
              <w:right w:val="single" w:sz="4" w:space="0" w:color="auto"/>
            </w:tcBorders>
            <w:vAlign w:val="center"/>
          </w:tcPr>
          <w:p/>
        </w:tc>
        <w:tc>
          <w:tcPr>
            <w:tcW w:w="1540" w:type="dxa"/>
            <w:vMerge/>
            <w:tcBorders>
              <w:top w:val="single" w:sz="4" w:space="0" w:color="auto"/>
              <w:left w:val="single" w:sz="4" w:space="0" w:color="auto"/>
              <w:bottom w:val="single" w:sz="4" w:space="0" w:color="auto"/>
              <w:right w:val="single" w:sz="4" w:space="0" w:color="auto"/>
            </w:tcBorders>
            <w:vAlign w:val="center"/>
          </w:tcPr>
          <w:p/>
        </w:tc>
        <w:tc>
          <w:tcPr>
            <w:tcW w:w="2257" w:type="dxa"/>
            <w:vMerge/>
            <w:tcBorders>
              <w:top w:val="single" w:sz="4" w:space="0" w:color="auto"/>
              <w:left w:val="single" w:sz="4" w:space="0" w:color="auto"/>
              <w:bottom w:val="single" w:sz="4" w:space="0" w:color="auto"/>
              <w:right w:val="single" w:sz="4" w:space="0" w:color="auto"/>
            </w:tcBorders>
            <w:vAlign w:val="center"/>
          </w:tcPr>
          <w:p/>
        </w:tc>
        <w:tc>
          <w:tcPr>
            <w:tcW w:w="2120" w:type="dxa"/>
            <w:vMerge/>
            <w:tcBorders>
              <w:top w:val="single" w:sz="4" w:space="0" w:color="auto"/>
              <w:left w:val="single" w:sz="4" w:space="0" w:color="auto"/>
              <w:bottom w:val="single" w:sz="4" w:space="0" w:color="auto"/>
              <w:right w:val="single" w:sz="4" w:space="0" w:color="auto"/>
            </w:tcBorders>
            <w:vAlign w:val="center"/>
          </w:tcPr>
          <w:p/>
        </w:tc>
        <w:tc>
          <w:tcPr>
            <w:tcW w:w="1835" w:type="dxa"/>
            <w:vMerge/>
            <w:tcBorders>
              <w:top w:val="single" w:sz="4" w:space="0" w:color="auto"/>
              <w:left w:val="single" w:sz="4" w:space="0" w:color="auto"/>
              <w:bottom w:val="single" w:sz="4" w:space="0" w:color="auto"/>
              <w:right w:val="single" w:sz="4" w:space="0" w:color="auto"/>
            </w:tcBorders>
            <w:vAlign w:val="center"/>
          </w:tcPr>
          <w:p/>
        </w:tc>
        <w:tc>
          <w:tcPr>
            <w:tcW w:w="2280" w:type="dxa"/>
            <w:vMerge/>
            <w:tcBorders>
              <w:top w:val="single" w:sz="4" w:space="0" w:color="auto"/>
              <w:left w:val="single" w:sz="4" w:space="0" w:color="auto"/>
              <w:bottom w:val="single" w:sz="4" w:space="0" w:color="auto"/>
              <w:right w:val="single" w:sz="4" w:space="0" w:color="auto"/>
            </w:tcBorders>
            <w:vAlign w:val="center"/>
          </w:tcPr>
          <w:p/>
        </w:tc>
        <w:tc>
          <w:tcPr>
            <w:tcW w:w="2120" w:type="dxa"/>
            <w:vMerge/>
            <w:tcBorders>
              <w:top w:val="single" w:sz="4" w:space="0" w:color="auto"/>
              <w:left w:val="single" w:sz="4" w:space="0" w:color="auto"/>
              <w:bottom w:val="single" w:sz="4" w:space="0" w:color="auto"/>
              <w:right w:val="single" w:sz="4" w:space="0" w:color="auto"/>
            </w:tcBorders>
            <w:vAlign w:val="center"/>
          </w:tcPr>
          <w:p/>
        </w:tc>
        <w:tc>
          <w:tcPr>
            <w:tcW w:w="1255" w:type="dxa"/>
            <w:vMerge/>
            <w:tcBorders>
              <w:top w:val="single" w:sz="4" w:space="0" w:color="auto"/>
              <w:left w:val="single" w:sz="4" w:space="0" w:color="auto"/>
              <w:bottom w:val="single" w:sz="4" w:space="0" w:color="auto"/>
              <w:right w:val="single" w:sz="4" w:space="0" w:color="auto"/>
            </w:tcBorders>
            <w:vAlign w:val="center"/>
          </w:tcP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 </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冠状动脉狭窄</w:t>
            </w:r>
          </w:p>
        </w:tc>
        <w:tc>
          <w:tcPr>
            <w:tcW w:w="2257"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经皮冠状动脉内支架置入术（1个）</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320500003 </w:t>
            </w: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30350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支架除外</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经皮冠状动脉内支架置入术（2个）</w:t>
            </w: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35350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支架除外</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经皮冠状动脉内支架置入术（3个及以上）</w:t>
            </w: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40350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支架除外</w:t>
            </w:r>
          </w:p>
        </w:tc>
      </w:tr>
      <w:tr>
        <w:trPr>
          <w:cantSplit/>
          <w:trHeight w:val="340"/>
        </w:trPr>
        <w:tc>
          <w:tcPr>
            <w:tcW w:w="114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 </w:t>
            </w:r>
          </w:p>
        </w:tc>
        <w:tc>
          <w:tcPr>
            <w:tcW w:w="154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冠状动脉狭窄冠状动脉造影术</w:t>
            </w:r>
          </w:p>
        </w:tc>
        <w:tc>
          <w:tcPr>
            <w:tcW w:w="2257"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冠状动脉造影术</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320500001 </w:t>
            </w: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10450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 </w:t>
            </w:r>
          </w:p>
        </w:tc>
        <w:tc>
          <w:tcPr>
            <w:tcW w:w="154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心律失常射频消融术</w:t>
            </w:r>
          </w:p>
        </w:tc>
        <w:tc>
          <w:tcPr>
            <w:tcW w:w="2257"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kern w:val="0"/>
                <w:sz w:val="22"/>
              </w:rPr>
            </w:pPr>
            <w:r>
              <w:rPr>
                <w:rFonts w:ascii="Times New Roman" w:eastAsia="仿宋_GB2312" w:cs="Times New Roman" w:hAnsi="Times New Roman"/>
                <w:kern w:val="0"/>
                <w:sz w:val="22"/>
              </w:rPr>
              <w:t>心律失常射频消融术</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310702004 </w:t>
            </w: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26500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4 </w:t>
            </w:r>
          </w:p>
        </w:tc>
        <w:tc>
          <w:tcPr>
            <w:tcW w:w="1540" w:type="dxa"/>
            <w:vMerge w:val="restart"/>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子宫良性肿瘤（腔镜，33-a）</w:t>
            </w:r>
          </w:p>
        </w:tc>
        <w:tc>
          <w:tcPr>
            <w:tcW w:w="2257" w:type="dxa"/>
            <w:tcBorders>
              <w:top w:val="nil"/>
              <w:left w:val="nil"/>
              <w:bottom w:val="single" w:sz="4" w:space="0" w:color="auto"/>
              <w:right w:val="single" w:sz="4" w:space="0" w:color="auto"/>
            </w:tcBorders>
            <w:shd w:val="clear" w:color="000000" w:fill="FFFFFF"/>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经宫腔镜子宫肌瘤切除术</w:t>
            </w:r>
          </w:p>
        </w:tc>
        <w:tc>
          <w:tcPr>
            <w:tcW w:w="2120" w:type="dxa"/>
            <w:tcBorders>
              <w:top w:val="nil"/>
              <w:left w:val="nil"/>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331306008 </w:t>
            </w:r>
          </w:p>
        </w:tc>
        <w:tc>
          <w:tcPr>
            <w:tcW w:w="1835" w:type="dxa"/>
            <w:tcBorders>
              <w:top w:val="nil"/>
              <w:left w:val="nil"/>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2280" w:type="dxa"/>
            <w:tcBorders>
              <w:top w:val="nil"/>
              <w:left w:val="nil"/>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7100 </w:t>
            </w:r>
          </w:p>
        </w:tc>
        <w:tc>
          <w:tcPr>
            <w:tcW w:w="2120" w:type="dxa"/>
            <w:tcBorders>
              <w:top w:val="nil"/>
              <w:left w:val="nil"/>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 xml:space="preserve">6800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5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经腹阴道联合子宫切除术</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331303018 </w:t>
            </w: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非腔镜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13200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8200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566"/>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18900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11800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6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粘膜下子宫肌瘤圈套术</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331303029 </w:t>
            </w: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非腔镜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7700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5800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16800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7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经腹子宫肌瘤剔除术</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331303011 </w:t>
            </w: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非腔镜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12000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9500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14300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11900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8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残角子宫切除</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331303019 </w:t>
            </w: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非腔镜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13100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6900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14500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11500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9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000000" w:fill="FFFFFF"/>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子宫次全切除术</w:t>
            </w:r>
          </w:p>
        </w:tc>
        <w:tc>
          <w:tcPr>
            <w:tcW w:w="2120" w:type="dxa"/>
            <w:vMerge w:val="restart"/>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331303012 </w:t>
            </w:r>
          </w:p>
        </w:tc>
        <w:tc>
          <w:tcPr>
            <w:tcW w:w="1835" w:type="dxa"/>
            <w:tcBorders>
              <w:top w:val="nil"/>
              <w:left w:val="nil"/>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非腔镜</w:t>
            </w:r>
          </w:p>
        </w:tc>
        <w:tc>
          <w:tcPr>
            <w:tcW w:w="2280" w:type="dxa"/>
            <w:tcBorders>
              <w:top w:val="nil"/>
              <w:left w:val="nil"/>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13600 </w:t>
            </w:r>
          </w:p>
        </w:tc>
        <w:tc>
          <w:tcPr>
            <w:tcW w:w="2120" w:type="dxa"/>
            <w:tcBorders>
              <w:top w:val="nil"/>
              <w:left w:val="nil"/>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9300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腔镜</w:t>
            </w:r>
          </w:p>
        </w:tc>
        <w:tc>
          <w:tcPr>
            <w:tcW w:w="2280" w:type="dxa"/>
            <w:tcBorders>
              <w:top w:val="nil"/>
              <w:left w:val="nil"/>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18800 </w:t>
            </w:r>
          </w:p>
        </w:tc>
        <w:tc>
          <w:tcPr>
            <w:tcW w:w="2120" w:type="dxa"/>
            <w:tcBorders>
              <w:top w:val="nil"/>
              <w:left w:val="nil"/>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13300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10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阴式全子宫切除术</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331303013 </w:t>
            </w: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非腔镜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15700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11100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17700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13200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11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腹式全子宫切除术</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331303014 </w:t>
            </w: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非腔镜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17100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11300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17700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14900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12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全子宫+双附件切除术</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331303015 </w:t>
            </w: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非腔镜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17000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13400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17900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13800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13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次广泛子宫切除术</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331303016 </w:t>
            </w: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非腔镜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23800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腔镜</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27100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14 </w:t>
            </w:r>
          </w:p>
        </w:tc>
        <w:tc>
          <w:tcPr>
            <w:tcW w:w="1540" w:type="dxa"/>
            <w:vMerge w:val="restart"/>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卵巢良性肿瘤（腔镜，33-a）</w:t>
            </w: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卵巢冠囊肿剥除术腔镜</w:t>
            </w:r>
          </w:p>
        </w:tc>
        <w:tc>
          <w:tcPr>
            <w:tcW w:w="2120" w:type="dxa"/>
            <w:vMerge w:val="restart"/>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331301002</w:t>
            </w:r>
          </w:p>
        </w:tc>
        <w:tc>
          <w:tcPr>
            <w:tcW w:w="1835"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单侧</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13400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11000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双侧</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14600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12500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15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卵巢楔形切除术腔镜</w:t>
            </w:r>
          </w:p>
        </w:tc>
        <w:tc>
          <w:tcPr>
            <w:tcW w:w="2120" w:type="dxa"/>
            <w:vMerge w:val="restart"/>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331301004</w:t>
            </w:r>
          </w:p>
        </w:tc>
        <w:tc>
          <w:tcPr>
            <w:tcW w:w="1835"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单侧</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15700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11900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双侧</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26700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16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卵巢输卵管切除术腔镜</w:t>
            </w:r>
          </w:p>
        </w:tc>
        <w:tc>
          <w:tcPr>
            <w:tcW w:w="2120" w:type="dxa"/>
            <w:vMerge w:val="restart"/>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331301008</w:t>
            </w:r>
          </w:p>
        </w:tc>
        <w:tc>
          <w:tcPr>
            <w:tcW w:w="1835"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单侧</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16700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11300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双侧</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16900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15800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17 </w:t>
            </w: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卵巢切除术腔镜</w:t>
            </w:r>
          </w:p>
        </w:tc>
        <w:tc>
          <w:tcPr>
            <w:tcW w:w="2120" w:type="dxa"/>
            <w:vMerge w:val="restart"/>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331301005</w:t>
            </w:r>
          </w:p>
        </w:tc>
        <w:tc>
          <w:tcPr>
            <w:tcW w:w="1835"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kern w:val="0"/>
                <w:sz w:val="22"/>
              </w:rPr>
            </w:pPr>
            <w:r>
              <w:rPr>
                <w:rFonts w:ascii="Times New Roman" w:eastAsia="仿宋_GB2312" w:cs="Times New Roman" w:hAnsi="Times New Roman"/>
                <w:kern w:val="0"/>
                <w:sz w:val="22"/>
              </w:rPr>
              <w:t>单侧</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18900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17200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r>
        <w:trPr>
          <w:cantSplit/>
          <w:trHeight w:val="340"/>
        </w:trPr>
        <w:tc>
          <w:tcPr>
            <w:tcW w:w="1140" w:type="dxa"/>
            <w:vMerge/>
            <w:tcBorders>
              <w:top w:val="nil"/>
              <w:left w:val="single" w:sz="4" w:space="0" w:color="auto"/>
              <w:bottom w:val="single" w:sz="4" w:space="0" w:color="auto"/>
              <w:right w:val="single" w:sz="4" w:space="0" w:color="auto"/>
            </w:tcBorders>
            <w:vAlign w:val="center"/>
          </w:tcPr>
          <w:p/>
        </w:tc>
        <w:tc>
          <w:tcPr>
            <w:tcW w:w="1540" w:type="dxa"/>
            <w:vMerge/>
            <w:tcBorders>
              <w:top w:val="nil"/>
              <w:left w:val="single" w:sz="4" w:space="0" w:color="auto"/>
              <w:bottom w:val="single" w:sz="4" w:space="0" w:color="auto"/>
              <w:right w:val="single" w:sz="4" w:space="0" w:color="auto"/>
            </w:tcBorders>
            <w:vAlign w:val="center"/>
          </w:tcPr>
          <w:p/>
        </w:tc>
        <w:tc>
          <w:tcPr>
            <w:tcW w:w="2257" w:type="dxa"/>
            <w:vMerge/>
            <w:tcBorders>
              <w:top w:val="nil"/>
              <w:left w:val="single" w:sz="4" w:space="0" w:color="auto"/>
              <w:bottom w:val="single" w:sz="4" w:space="0" w:color="auto"/>
              <w:right w:val="single" w:sz="4" w:space="0" w:color="auto"/>
            </w:tcBorders>
            <w:vAlign w:val="center"/>
          </w:tcPr>
          <w:p/>
        </w:tc>
        <w:tc>
          <w:tcPr>
            <w:tcW w:w="2120" w:type="dxa"/>
            <w:vMerge/>
            <w:tcBorders>
              <w:top w:val="nil"/>
              <w:left w:val="single" w:sz="4" w:space="0" w:color="auto"/>
              <w:bottom w:val="single" w:sz="4" w:space="0" w:color="auto"/>
              <w:right w:val="single" w:sz="4" w:space="0" w:color="auto"/>
            </w:tcBorders>
            <w:vAlign w:val="center"/>
          </w:tcPr>
          <w:p/>
        </w:tc>
        <w:tc>
          <w:tcPr>
            <w:tcW w:w="1835"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双侧</w:t>
            </w:r>
          </w:p>
        </w:tc>
        <w:tc>
          <w:tcPr>
            <w:tcW w:w="228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19100 </w:t>
            </w:r>
          </w:p>
        </w:tc>
        <w:tc>
          <w:tcPr>
            <w:tcW w:w="212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xml:space="preserve">17560 </w:t>
            </w:r>
          </w:p>
        </w:tc>
        <w:tc>
          <w:tcPr>
            <w:tcW w:w="1255" w:type="dxa"/>
            <w:tcBorders>
              <w:top w:val="nil"/>
              <w:left w:val="nil"/>
              <w:bottom w:val="single" w:sz="4" w:space="0" w:color="auto"/>
              <w:right w:val="single" w:sz="4" w:space="0" w:color="auto"/>
            </w:tcBorders>
            <w:shd w:val="clear" w:color="auto" w:fill="auto"/>
            <w:vAlign w:val="center"/>
          </w:tcPr>
          <w:p>
            <w:pPr>
              <w:widowControl/>
              <w:jc w:val="left"/>
              <w:rPr>
                <w:rFonts w:ascii="Times New Roman" w:eastAsia="仿宋_GB2312" w:cs="Times New Roman" w:hAnsi="Times New Roman"/>
                <w:color w:val="000000"/>
                <w:kern w:val="0"/>
                <w:sz w:val="22"/>
              </w:rPr>
            </w:pPr>
            <w:r>
              <w:rPr>
                <w:rFonts w:ascii="Times New Roman" w:eastAsia="仿宋_GB2312" w:cs="Times New Roman" w:hAnsi="Times New Roman"/>
                <w:color w:val="000000"/>
                <w:kern w:val="0"/>
                <w:sz w:val="22"/>
              </w:rPr>
              <w:t>　</w:t>
            </w:r>
          </w:p>
        </w:tc>
      </w:tr>
    </w:tbl>
    <w:p>
      <w:pPr>
        <w:pStyle w:val="19"/>
        <w:spacing w:beforeLines="100" w:before="312" w:beforeAutospacing="0" w:after="0" w:afterAutospacing="0" w:line="580" w:lineRule="exact"/>
        <w:ind w:firstLineChars="550" w:firstLine="1760"/>
        <w:rPr>
          <w:rFonts w:ascii="Times New Roman" w:eastAsia="仿宋" w:cs="Times New Roman" w:hAnsi="Times New Roman"/>
          <w:color w:val="191919"/>
          <w:sz w:val="32"/>
          <w:szCs w:val="32"/>
        </w:rPr>
      </w:pPr>
    </w:p>
    <w:p>
      <w:pPr>
        <w:pBdr>
          <w:top w:val="single" w:sz="4" w:space="1" w:color="auto"/>
          <w:bottom w:val="single" w:sz="4" w:space="1" w:color="auto"/>
        </w:pBdr>
        <w:spacing w:line="360" w:lineRule="exact"/>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 xml:space="preserve">南京市医疗保障局办公室         </w:t>
      </w:r>
      <w:r>
        <w:rPr>
          <w:rFonts w:ascii="Times New Roman" w:eastAsia="仿宋_GB2312" w:cs="Times New Roman" w:hAnsi="Times New Roman" w:hint="eastAsia"/>
          <w:sz w:val="32"/>
          <w:szCs w:val="32"/>
        </w:rPr>
        <w:t xml:space="preserve">                         </w:t>
      </w:r>
      <w:r>
        <w:rPr>
          <w:rFonts w:ascii="Times New Roman" w:eastAsia="仿宋_GB2312" w:cs="Times New Roman" w:hAnsi="Times New Roman"/>
          <w:sz w:val="32"/>
          <w:szCs w:val="32"/>
        </w:rPr>
        <w:t xml:space="preserve">     202</w:t>
      </w:r>
      <w:r>
        <w:rPr>
          <w:rFonts w:ascii="Times New Roman" w:eastAsia="仿宋_GB2312" w:cs="Times New Roman" w:hAnsi="Times New Roman" w:hint="eastAsia"/>
          <w:sz w:val="32"/>
          <w:szCs w:val="32"/>
        </w:rPr>
        <w:t>1</w:t>
      </w:r>
      <w:r>
        <w:rPr>
          <w:rFonts w:ascii="Times New Roman" w:eastAsia="仿宋_GB2312" w:cs="Times New Roman" w:hAnsi="Times New Roman"/>
          <w:sz w:val="32"/>
          <w:szCs w:val="32"/>
        </w:rPr>
        <w:t>年</w:t>
      </w:r>
      <w:r>
        <w:rPr>
          <w:rFonts w:ascii="Times New Roman" w:eastAsia="仿宋_GB2312" w:cs="Times New Roman" w:hAnsi="Times New Roman" w:hint="eastAsia"/>
          <w:sz w:val="32"/>
          <w:szCs w:val="32"/>
        </w:rPr>
        <w:t>6</w:t>
      </w:r>
      <w:r>
        <w:rPr>
          <w:rFonts w:ascii="Times New Roman" w:eastAsia="仿宋_GB2312" w:cs="Times New Roman" w:hAnsi="Times New Roman"/>
          <w:sz w:val="32"/>
          <w:szCs w:val="32"/>
        </w:rPr>
        <w:t>月</w:t>
      </w:r>
      <w:r>
        <w:rPr>
          <w:rFonts w:ascii="Times New Roman" w:eastAsia="仿宋_GB2312" w:cs="Times New Roman" w:hAnsi="Times New Roman" w:hint="eastAsia"/>
          <w:sz w:val="32"/>
          <w:szCs w:val="32"/>
        </w:rPr>
        <w:t>10</w:t>
      </w:r>
      <w:r>
        <w:rPr>
          <w:rFonts w:ascii="Times New Roman" w:eastAsia="仿宋_GB2312" w:cs="Times New Roman" w:hAnsi="Times New Roman"/>
          <w:sz w:val="32"/>
          <w:szCs w:val="32"/>
        </w:rPr>
        <w:t>日印发</w:t>
      </w:r>
    </w:p>
    <w:sectPr>
      <w:pgSz w:w="16838" w:h="11906" w:orient="landscape"/>
      <w:pgMar w:top="1588" w:right="2098" w:bottom="1588" w:left="1701"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FZXiaoBiaoSong-B05">
    <w:altName w:val="DejaVu Sans"/>
    <w:panose1 w:val="00000000000000000000"/>
    <w:charset w:val="00"/>
    <w:family w:val="swiss"/>
    <w:pitch w:val="variable"/>
    <w:sig w:usb0="00000003" w:usb1="00000000" w:usb2="00000000" w:usb3="00000000" w:csb0="0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935682476"/>
      <w:docPartObj>
        <w:docPartGallery w:val="Page Numbers (Bottom of Page)"/>
        <w:docPartUnique/>
      </w:docPartObj>
    </w:sdtPr>
    <w:sdtEndPr>
      <w:rPr>
        <w:sz w:val="24"/>
        <w:szCs w:val="24"/>
      </w:rPr>
    </w:sdtEndPr>
    <w:sdtContent>
      <w:p>
        <w:pPr>
          <w:pStyle w:val="17"/>
          <w:tabs>
            <w:tab w:val="center" w:pos="4153"/>
            <w:tab w:val="right" w:pos="8306"/>
          </w:tabs>
          <w:jc w:val="right"/>
          <w:rPr>
            <w:sz w:val="24"/>
            <w:szCs w:val="24"/>
          </w:rPr>
        </w:pPr>
        <w:r>
          <w:rPr>
            <w:rFonts w:ascii="Times New Roman" w:cs="Times New Roman" w:hAnsi="Times New Roman"/>
            <w:sz w:val="28"/>
            <w:szCs w:val="28"/>
          </w:rPr>
          <w:fldChar w:fldCharType="begin"/>
        </w:r>
        <w:r>
          <w:rPr>
            <w:rFonts w:ascii="Times New Roman" w:cs="Times New Roman" w:hAnsi="Times New Roman"/>
            <w:sz w:val="28"/>
            <w:szCs w:val="28"/>
          </w:rPr>
          <w:instrText>PAGE   \* MERGEFORMAT</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7 -</w:t>
        </w:r>
        <w:r>
          <w:rPr>
            <w:rFonts w:ascii="Times New Roman" w:cs="Times New Roman" w:hAnsi="Times New Roman"/>
            <w:sz w:val="28"/>
            <w:szCs w:val="28"/>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087401166"/>
      <w:docPartObj>
        <w:docPartGallery w:val="Page Numbers (Bottom of Page)"/>
        <w:docPartUnique/>
      </w:docPartObj>
    </w:sdtPr>
    <w:sdtEndPr>
      <w:rPr>
        <w:sz w:val="24"/>
        <w:szCs w:val="24"/>
      </w:rPr>
    </w:sdtEndPr>
    <w:sdtContent>
      <w:p>
        <w:pPr>
          <w:pStyle w:val="17"/>
          <w:tabs>
            <w:tab w:val="center" w:pos="4153"/>
            <w:tab w:val="right" w:pos="8306"/>
          </w:tabs>
          <w:rPr>
            <w:sz w:val="24"/>
            <w:szCs w:val="24"/>
          </w:rPr>
        </w:pPr>
        <w:r>
          <w:rPr>
            <w:rFonts w:ascii="Times New Roman" w:cs="Times New Roman" w:hAnsi="Times New Roman"/>
            <w:sz w:val="28"/>
            <w:szCs w:val="28"/>
          </w:rPr>
          <w:fldChar w:fldCharType="begin"/>
        </w:r>
        <w:r>
          <w:rPr>
            <w:rFonts w:ascii="Times New Roman" w:cs="Times New Roman" w:hAnsi="Times New Roman"/>
            <w:sz w:val="28"/>
            <w:szCs w:val="28"/>
          </w:rPr>
          <w:instrText>PAGE   \* MERGEFORMAT</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8 -</w:t>
        </w:r>
        <w:r>
          <w:rPr>
            <w:rFonts w:ascii="Times New Roman" w:cs="Times New Roman" w:hAnsi="Times New Roman"/>
            <w:sz w:val="28"/>
            <w:szCs w:val="28"/>
          </w:rPr>
          <w:fldChar w:fldCharType="end"/>
        </w:r>
      </w:p>
    </w:sdtContent>
  </w:sdt>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8"/>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List Paragraph"/>
    <w:basedOn w:val="0"/>
    <w:pPr>
      <w:ind w:firstLineChars="200" w:firstLine="200"/>
    </w:p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Balloon Text"/>
    <w:basedOn w:val="0"/>
    <w:rPr>
      <w:sz w:val="18"/>
      <w:szCs w:val="18"/>
    </w:rPr>
  </w:style>
  <w:style w:type="paragraph" w:styleId="19">
    <w:name w:val="Normal (Web)"/>
    <w:basedOn w:val="0"/>
    <w:pPr>
      <w:widowControl/>
      <w:spacing w:before="100" w:beforeAutospacing="1" w:after="100" w:afterAutospacing="1"/>
      <w:jc w:val="left"/>
    </w:pPr>
    <w:rPr>
      <w:rFonts w:ascii="宋体" w:eastAsia="宋体" w:cs="宋体"/>
      <w:kern w:val="0"/>
      <w:sz w:val="24"/>
      <w:szCs w:val="24"/>
    </w:rPr>
  </w:style>
  <w:style w:type="paragraph" w:styleId="20">
    <w:name w:val="Date"/>
    <w:basedOn w:val="0"/>
    <w:next w:val="0"/>
    <w:pPr>
      <w:ind w:leftChars="2500" w:left="2500"/>
    </w:pPr>
  </w:style>
  <w:style w:type="character" w:customStyle="1" w:styleId="21">
    <w:name w:val="NormalCharacter"/>
  </w:style>
  <w:style w:type="paragraph" w:customStyle="1" w:styleId="22">
    <w:name w:val="Default"/>
    <w:pPr>
      <w:widowControl w:val="0"/>
      <w:autoSpaceDE w:val="0"/>
      <w:autoSpaceDN w:val="0"/>
      <w:adjustRightInd w:val="0"/>
    </w:pPr>
    <w:rPr>
      <w:rFonts w:ascii="FZXiaoBiaoSong-B05" w:eastAsia="宋体" w:cs="FZXiaoBiaoSong-B05" w:hAnsi="FZXiaoBiaoSong-B05"/>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66</TotalTime>
  <Application>Yozo_Office27021597764231179</Application>
  <Pages>9</Pages>
  <Words>2317</Words>
  <Characters>3691</Characters>
  <Lines>714</Lines>
  <Paragraphs>490</Paragraphs>
  <CharactersWithSpaces>4182</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NTKO</dc:creator>
  <cp:lastModifiedBy>casic</cp:lastModifiedBy>
  <cp:revision>33</cp:revision>
  <cp:lastPrinted>2021-06-10T07:27:00Z</cp:lastPrinted>
  <dcterms:created xsi:type="dcterms:W3CDTF">2020-03-04T06:07:00Z</dcterms:created>
  <dcterms:modified xsi:type="dcterms:W3CDTF">2025-10-16T07:43:53Z</dcterms:modified>
</cp:coreProperties>
</file>