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spacing w:line="560" w:lineRule="exact"/>
        <w:jc w:val="center"/>
        <w:rPr>
          <w:rFonts w:eastAsia="方正小标宋简体"/>
          <w:sz w:val="44"/>
          <w:szCs w:val="44"/>
        </w:rPr>
      </w:pPr>
      <w:bookmarkStart w:id="0" w:name="_GoBack"/>
      <w:bookmarkEnd w:id="0"/>
      <w:r>
        <w:rPr>
          <w:rFonts w:eastAsia="方正小标宋简体"/>
          <w:sz w:val="44"/>
          <w:szCs w:val="44"/>
        </w:rPr>
        <w:t>关于进一步落实2019年国家医保谈判药品</w:t>
      </w:r>
    </w:p>
    <w:p>
      <w:pPr>
        <w:spacing w:line="560" w:lineRule="exact"/>
        <w:jc w:val="center"/>
        <w:rPr>
          <w:rFonts w:eastAsia="方正小标宋简体"/>
          <w:sz w:val="44"/>
          <w:szCs w:val="44"/>
        </w:rPr>
      </w:pPr>
      <w:r>
        <w:rPr>
          <w:rFonts w:eastAsia="方正小标宋简体"/>
          <w:sz w:val="44"/>
          <w:szCs w:val="44"/>
        </w:rPr>
        <w:t>落地工作及抗恶性肿瘤靶向药待遇保障的通知</w:t>
      </w:r>
    </w:p>
    <w:p>
      <w:pPr>
        <w:spacing w:line="560" w:lineRule="exact"/>
        <w:rPr>
          <w:rFonts w:eastAsia="方正仿宋简体"/>
          <w:sz w:val="32"/>
          <w:szCs w:val="32"/>
        </w:rPr>
      </w:pPr>
    </w:p>
    <w:p>
      <w:pPr>
        <w:spacing w:line="560" w:lineRule="exact"/>
        <w:rPr>
          <w:rFonts w:eastAsia="仿宋_GB2312"/>
          <w:sz w:val="32"/>
          <w:szCs w:val="32"/>
        </w:rPr>
      </w:pPr>
      <w:r>
        <w:rPr>
          <w:rFonts w:eastAsia="仿宋_GB2312"/>
          <w:sz w:val="32"/>
          <w:szCs w:val="32"/>
        </w:rPr>
        <w:t>各医保分局、卫健委，江北新区社会事业局，市、区医保中心，各有关单位：</w:t>
      </w:r>
    </w:p>
    <w:p>
      <w:pPr>
        <w:spacing w:line="560" w:lineRule="exact"/>
        <w:ind w:firstLineChars="200" w:firstLine="620"/>
        <w:rPr>
          <w:rFonts w:eastAsia="仿宋_GB2312"/>
          <w:sz w:val="32"/>
          <w:szCs w:val="32"/>
        </w:rPr>
      </w:pPr>
      <w:r>
        <w:rPr>
          <w:rFonts w:eastAsia="仿宋_GB2312"/>
          <w:sz w:val="32"/>
          <w:szCs w:val="32"/>
        </w:rPr>
        <w:t>根据国家医保局、国家卫生健康委《关于做好2019年国家医保谈判药品落地工作的通知》（医保发〔2019〕73号）、江苏省医保局、</w:t>
      </w:r>
      <w:r>
        <w:rPr>
          <w:rFonts w:eastAsia="仿宋_GB2312" w:hint="eastAsia"/>
          <w:sz w:val="32"/>
          <w:szCs w:val="32"/>
        </w:rPr>
        <w:t>江苏省</w:t>
      </w:r>
      <w:r>
        <w:rPr>
          <w:rFonts w:eastAsia="仿宋_GB2312"/>
          <w:sz w:val="32"/>
          <w:szCs w:val="32"/>
        </w:rPr>
        <w:t>卫生健康委《关于转发&lt;国家医保局国家卫生健康委关于做好2019年国家医保谈判药品落地工作的通知&gt;的通知》（苏医保发〔2020〕41号）、《关于进一步规范基本医疗保险特药管理的通知》（苏医保发〔2019〕124号）要求，为进一步减轻参保人用药负担，提高医保待遇可及性，实现重特大疾病的医疗精准保障，现就有关事项通知如下：</w:t>
      </w:r>
    </w:p>
    <w:p>
      <w:pPr>
        <w:spacing w:line="560" w:lineRule="exact"/>
        <w:ind w:firstLineChars="200" w:firstLine="620"/>
        <w:rPr>
          <w:rFonts w:eastAsia="黑体"/>
          <w:sz w:val="32"/>
          <w:szCs w:val="32"/>
        </w:rPr>
      </w:pPr>
      <w:r>
        <w:rPr>
          <w:rFonts w:eastAsia="黑体"/>
          <w:sz w:val="32"/>
          <w:szCs w:val="32"/>
        </w:rPr>
        <w:t>一、完善抗恶性肿瘤靶向药医疗保障政策</w:t>
      </w:r>
    </w:p>
    <w:p>
      <w:pPr>
        <w:spacing w:line="560" w:lineRule="exact"/>
        <w:ind w:firstLineChars="200" w:firstLine="620"/>
        <w:rPr>
          <w:rFonts w:eastAsia="仿宋_GB2312"/>
          <w:sz w:val="32"/>
          <w:szCs w:val="32"/>
        </w:rPr>
      </w:pPr>
      <w:r>
        <w:rPr>
          <w:rFonts w:eastAsia="仿宋_GB2312"/>
          <w:sz w:val="32"/>
          <w:szCs w:val="32"/>
        </w:rPr>
        <w:t>对纳入2019年国家基本医疗保险药品目录、经国家医保谈判纳入国家基本医疗保险药品目录乙类范围（含与江苏省特药同一通用名）的抗恶性肿瘤靶向药（具体药品见附件），按职工医保门诊特定项目和城乡居民门诊大病的恶性肿瘤门诊“针对性药物治疗”、农民工大病医保门诊大病待遇享受。药品个人支付部分，由个人先按规定比例支付后，再按规定的待遇政策执行。</w:t>
      </w:r>
    </w:p>
    <w:p>
      <w:pPr>
        <w:pStyle w:val="18"/>
        <w:shd w:val="clear" w:color="auto" w:fill="FFFFFF"/>
        <w:spacing w:before="0" w:beforeAutospacing="0" w:after="0" w:afterAutospacing="0" w:line="560" w:lineRule="exact"/>
        <w:ind w:firstLineChars="200" w:firstLine="620"/>
        <w:jc w:val="both"/>
        <w:rPr>
          <w:rFonts w:ascii="Times New Roman" w:eastAsia="仿宋_GB2312" w:cs="Times New Roman" w:hAnsi="Times New Roman"/>
          <w:sz w:val="32"/>
          <w:szCs w:val="32"/>
        </w:rPr>
      </w:pPr>
      <w:r>
        <w:rPr>
          <w:rFonts w:ascii="Times New Roman" w:eastAsia="仿宋_GB2312" w:cs="Times New Roman" w:hAnsi="Times New Roman"/>
          <w:sz w:val="32"/>
          <w:szCs w:val="32"/>
        </w:rPr>
        <w:t>“针对性药物治疗”药品范围由市医疗保障局根据国家和省基本医疗保险药品目录及基金运行情况进行动态调整。药品医保支付范围按国家医保目录规定动态调整。</w:t>
      </w:r>
    </w:p>
    <w:p>
      <w:pPr>
        <w:spacing w:line="560" w:lineRule="exact"/>
        <w:ind w:firstLineChars="200" w:firstLine="620"/>
        <w:rPr>
          <w:rFonts w:eastAsia="黑体"/>
          <w:sz w:val="32"/>
          <w:szCs w:val="32"/>
        </w:rPr>
      </w:pPr>
      <w:r>
        <w:rPr>
          <w:rFonts w:eastAsia="黑体"/>
          <w:sz w:val="32"/>
          <w:szCs w:val="32"/>
        </w:rPr>
        <w:t>二、做好门诊用药服务管理</w:t>
      </w:r>
    </w:p>
    <w:p>
      <w:pPr>
        <w:pStyle w:val="18"/>
        <w:shd w:val="clear" w:color="auto" w:fill="FFFFFF"/>
        <w:spacing w:before="0" w:beforeAutospacing="0" w:after="0" w:afterAutospacing="0" w:line="560" w:lineRule="exact"/>
        <w:ind w:firstLineChars="200" w:firstLine="620"/>
        <w:jc w:val="both"/>
        <w:rPr>
          <w:rFonts w:ascii="Times New Roman" w:eastAsia="仿宋_GB2312" w:cs="Times New Roman" w:hAnsi="Times New Roman"/>
          <w:sz w:val="32"/>
          <w:szCs w:val="32"/>
        </w:rPr>
      </w:pPr>
      <w:r>
        <w:rPr>
          <w:rFonts w:ascii="Times New Roman" w:eastAsia="楷体_GB2312" w:cs="Times New Roman" w:hAnsi="Times New Roman"/>
          <w:b/>
          <w:kern w:val="2"/>
          <w:sz w:val="32"/>
          <w:szCs w:val="32"/>
        </w:rPr>
        <w:t>（一）做好未续约谈判药过渡保障工作。</w:t>
      </w:r>
      <w:r>
        <w:rPr>
          <w:rFonts w:ascii="Times New Roman" w:eastAsia="仿宋_GB2312" w:cs="Times New Roman" w:hAnsi="Times New Roman"/>
          <w:sz w:val="32"/>
          <w:szCs w:val="32"/>
        </w:rPr>
        <w:t>对2019年谈判未成功续约的国家谈判药品设置过渡期，过渡期至2020年6月30日，过渡期内医保基金仍按规定支付。各定点医疗机构要做好临床用药的替代、衔接，合理保障参保人用药连续性。</w:t>
      </w:r>
    </w:p>
    <w:p>
      <w:pPr>
        <w:spacing w:line="560" w:lineRule="exact"/>
        <w:ind w:firstLineChars="200" w:firstLine="620"/>
        <w:rPr>
          <w:rFonts w:eastAsia="仿宋_GB2312"/>
          <w:sz w:val="32"/>
          <w:szCs w:val="32"/>
        </w:rPr>
      </w:pPr>
      <w:r>
        <w:rPr>
          <w:rFonts w:eastAsia="楷体_GB2312"/>
          <w:b/>
          <w:sz w:val="32"/>
          <w:szCs w:val="32"/>
        </w:rPr>
        <w:t>（二）加强抗恶性肿瘤靶向药使用管理。</w:t>
      </w:r>
      <w:r>
        <w:rPr>
          <w:rFonts w:eastAsia="仿宋_GB2312"/>
          <w:sz w:val="32"/>
          <w:szCs w:val="32"/>
        </w:rPr>
        <w:t>抗恶性肿瘤靶向药实行“定医院、定医师、定方案”管理。参保人须经三级医疗机构专科医师确诊，且符合国家药品目录医保支付的规定，在办理恶性肿瘤门诊“针对性药物治疗”后，按规定在选定的三级定点治疗医院直接结算门诊相关费用。恶性肿瘤门诊“针对性药物治疗”方案制定医师须经其所在三级医疗机构遴选并在市医保中心备案，未经备案医师核准的恶性肿瘤门诊“针对性药物治疗”费用，基本医疗保险基金不予支付。</w:t>
      </w:r>
    </w:p>
    <w:p>
      <w:pPr>
        <w:spacing w:line="560" w:lineRule="exact"/>
        <w:ind w:firstLineChars="200" w:firstLine="620"/>
        <w:rPr>
          <w:rFonts w:eastAsia="仿宋_GB2312"/>
          <w:sz w:val="32"/>
          <w:szCs w:val="32"/>
        </w:rPr>
      </w:pPr>
      <w:r>
        <w:rPr>
          <w:rFonts w:eastAsia="楷体_GB2312"/>
          <w:b/>
          <w:sz w:val="32"/>
          <w:szCs w:val="32"/>
        </w:rPr>
        <w:t>（三）做好省特药管理衔接工作。</w:t>
      </w:r>
      <w:r>
        <w:rPr>
          <w:rFonts w:eastAsia="仿宋_GB2312"/>
          <w:sz w:val="32"/>
          <w:szCs w:val="32"/>
        </w:rPr>
        <w:t>经国家医保谈判纳入国家基本医疗保险药品目录乙类范围的省特药，继续按省特药管理要求实行“三定”管理。经国家常规准入纳入2019年国家基本医疗保险药品目录的原省特药，可暂继续按省特药管理要求实行“三定”管理。</w:t>
      </w:r>
    </w:p>
    <w:p>
      <w:pPr>
        <w:spacing w:line="560" w:lineRule="exact"/>
        <w:ind w:firstLineChars="200" w:firstLine="620"/>
        <w:rPr>
          <w:rFonts w:eastAsia="黑体"/>
          <w:sz w:val="32"/>
          <w:szCs w:val="32"/>
        </w:rPr>
      </w:pPr>
      <w:r>
        <w:rPr>
          <w:rFonts w:eastAsia="黑体"/>
          <w:sz w:val="32"/>
          <w:szCs w:val="32"/>
        </w:rPr>
        <w:t>三、强化医疗机构采购使用责任</w:t>
      </w:r>
    </w:p>
    <w:p>
      <w:pPr>
        <w:spacing w:line="560" w:lineRule="exact"/>
        <w:ind w:firstLineChars="200" w:firstLine="620"/>
        <w:rPr>
          <w:rFonts w:eastAsia="仿宋_GB2312"/>
          <w:sz w:val="32"/>
          <w:szCs w:val="32"/>
        </w:rPr>
      </w:pPr>
      <w:r>
        <w:rPr>
          <w:rFonts w:eastAsia="仿宋_GB2312"/>
          <w:sz w:val="32"/>
          <w:szCs w:val="32"/>
        </w:rPr>
        <w:t>各定点医疗机构要根据自身功能定位、临床需求和诊疗能力等及时配备、合理使用谈判药；要建立谈判药进院的审批绿色通道，优化谈判药进院流程，及时召开专门的药事管理会议，将国家谈判药纳入医疗机构常规采购目录，做到“有需必采”，保证临床供应。不得以医保总额控制、医疗机构用药目录数量限制、药占比、门诊次均费用等为由影响谈判药配备和使用。</w:t>
      </w:r>
    </w:p>
    <w:p>
      <w:pPr>
        <w:spacing w:line="560" w:lineRule="exact"/>
        <w:ind w:firstLineChars="200" w:firstLine="620"/>
        <w:rPr>
          <w:rFonts w:eastAsia="仿宋_GB2312"/>
          <w:sz w:val="32"/>
          <w:szCs w:val="32"/>
        </w:rPr>
      </w:pPr>
      <w:r>
        <w:rPr>
          <w:rFonts w:eastAsia="仿宋_GB2312"/>
          <w:sz w:val="32"/>
          <w:szCs w:val="32"/>
        </w:rPr>
        <w:t>各特药定点医疗机构要充分发挥医疗机构药事管理委员会或专门组织、临床药师的作用，遵循安全、有效、经济、适当的原则，制定本机构特药用药指南，并将省特药纳入医疗机构相关病种的临床路径管理，引导医师合理使用相关药品。要有效运用处方审核、处方点评等手段，提高临床合理用药水平</w:t>
      </w:r>
      <w:r>
        <w:rPr>
          <w:rFonts w:eastAsia="仿宋_GB2312" w:hint="eastAsia"/>
          <w:sz w:val="32"/>
          <w:szCs w:val="32"/>
        </w:rPr>
        <w:t>。</w:t>
      </w:r>
      <w:r>
        <w:rPr>
          <w:rFonts w:eastAsia="仿宋_GB2312"/>
          <w:sz w:val="32"/>
          <w:szCs w:val="32"/>
        </w:rPr>
        <w:t>特药费用实行单独结算，不占医疗机构医保总额及单病种结算标准。</w:t>
      </w:r>
    </w:p>
    <w:p>
      <w:pPr>
        <w:spacing w:line="560" w:lineRule="exact"/>
        <w:ind w:firstLineChars="200" w:firstLine="620"/>
        <w:rPr>
          <w:rFonts w:eastAsia="仿宋_GB2312"/>
          <w:sz w:val="32"/>
          <w:szCs w:val="32"/>
        </w:rPr>
      </w:pPr>
      <w:r>
        <w:rPr>
          <w:rFonts w:eastAsia="仿宋_GB2312"/>
          <w:sz w:val="32"/>
          <w:szCs w:val="32"/>
        </w:rPr>
        <w:t>各定点医疗机构要加强抗恶性肿瘤靶向药用药管理，按“谁治疗、谁登记、谁供药”原则，确保用药合理、规范，未按要求配备、使用影响参保人享受待遇的，参保人发生的相关费用按规定零星报销后，基金支付部分纳入相关定点医疗机构月结算调整扣减。</w:t>
      </w:r>
    </w:p>
    <w:p>
      <w:pPr>
        <w:spacing w:line="560" w:lineRule="exact"/>
        <w:ind w:firstLineChars="200" w:firstLine="620"/>
        <w:rPr>
          <w:rFonts w:eastAsia="黑体"/>
          <w:sz w:val="32"/>
          <w:szCs w:val="32"/>
        </w:rPr>
      </w:pPr>
      <w:r>
        <w:rPr>
          <w:rFonts w:eastAsia="黑体"/>
          <w:sz w:val="32"/>
          <w:szCs w:val="32"/>
        </w:rPr>
        <w:t>四、工作要求</w:t>
      </w:r>
    </w:p>
    <w:p>
      <w:pPr>
        <w:spacing w:line="560" w:lineRule="exact"/>
        <w:ind w:firstLineChars="200" w:firstLine="620"/>
        <w:rPr>
          <w:rFonts w:eastAsia="仿宋_GB2312"/>
          <w:sz w:val="32"/>
          <w:szCs w:val="32"/>
        </w:rPr>
      </w:pPr>
      <w:r>
        <w:rPr>
          <w:rFonts w:eastAsia="仿宋_GB2312"/>
          <w:sz w:val="32"/>
          <w:szCs w:val="32"/>
        </w:rPr>
        <w:t>医疗保障部门要加强政策解读，合理引导社会预期；卫生健康部门要加强对医疗机构用药的监督和管理，规范诊疗行为，促进合理用药；市、区医保经办机构要建立监测和信息报送机制，及时报送谈判药配备、使用和支付等相关统计信息，要发挥医保智能监控系统作用，严格执行医保药品限定支付范围。医疗保障和卫生健康部门建立信息共享机制，根据谈判药、抗恶性肿瘤靶向药及省特药的配备、使用和支付等情况，及时沟通协商，做好各类药品的落地保障工作。</w:t>
      </w:r>
    </w:p>
    <w:p>
      <w:pPr>
        <w:spacing w:line="560" w:lineRule="exact"/>
        <w:ind w:firstLineChars="200" w:firstLine="620"/>
        <w:rPr>
          <w:rFonts w:eastAsia="黑体"/>
          <w:sz w:val="32"/>
          <w:szCs w:val="32"/>
        </w:rPr>
      </w:pPr>
      <w:r>
        <w:rPr>
          <w:rFonts w:eastAsia="黑体"/>
          <w:sz w:val="32"/>
          <w:szCs w:val="32"/>
        </w:rPr>
        <w:t>五、本通知自2020年7月1日起执行。</w:t>
      </w:r>
    </w:p>
    <w:p>
      <w:pPr>
        <w:spacing w:line="560" w:lineRule="exact"/>
        <w:ind w:firstLineChars="200" w:firstLine="620"/>
        <w:rPr>
          <w:rFonts w:eastAsia="仿宋_GB2312"/>
          <w:sz w:val="32"/>
          <w:szCs w:val="32"/>
        </w:rPr>
      </w:pPr>
    </w:p>
    <w:p>
      <w:pPr>
        <w:spacing w:line="560" w:lineRule="exact"/>
        <w:ind w:leftChars="310" w:left="1550" w:hangingChars="300" w:hanging="930"/>
        <w:rPr>
          <w:rFonts w:eastAsia="仿宋_GB2312"/>
          <w:sz w:val="32"/>
          <w:szCs w:val="32"/>
        </w:rPr>
      </w:pPr>
      <w:r>
        <w:rPr>
          <w:rFonts w:eastAsia="仿宋_GB2312"/>
          <w:sz w:val="32"/>
          <w:szCs w:val="32"/>
        </w:rPr>
        <w:t>附件：2019年国家医保药品目录抗恶性肿瘤靶向药名单</w:t>
      </w:r>
    </w:p>
    <w:p>
      <w:pPr>
        <w:spacing w:line="560" w:lineRule="exact"/>
        <w:rPr>
          <w:rFonts w:eastAsia="仿宋_GB2312"/>
          <w:sz w:val="32"/>
          <w:szCs w:val="32"/>
        </w:rPr>
      </w:pPr>
    </w:p>
    <w:p>
      <w:pPr>
        <w:spacing w:line="560" w:lineRule="exact"/>
        <w:ind w:firstLineChars="200" w:firstLine="620"/>
        <w:jc w:val="right"/>
        <w:rPr>
          <w:rFonts w:eastAsia="仿宋_GB2312"/>
          <w:sz w:val="32"/>
          <w:szCs w:val="32"/>
        </w:rPr>
      </w:pPr>
    </w:p>
    <w:p>
      <w:pPr>
        <w:spacing w:line="560" w:lineRule="exact"/>
        <w:ind w:firstLineChars="200" w:firstLine="620"/>
        <w:jc w:val="right"/>
        <w:rPr>
          <w:rFonts w:eastAsia="仿宋_GB2312"/>
          <w:sz w:val="32"/>
          <w:szCs w:val="32"/>
        </w:rPr>
      </w:pPr>
    </w:p>
    <w:p>
      <w:pPr>
        <w:spacing w:line="560" w:lineRule="exact"/>
        <w:jc w:val="right"/>
        <w:rPr>
          <w:rFonts w:eastAsia="仿宋_GB2312"/>
          <w:sz w:val="32"/>
          <w:szCs w:val="32"/>
        </w:rPr>
      </w:pPr>
      <w:r>
        <w:rPr>
          <w:rFonts w:eastAsia="仿宋_GB2312"/>
          <w:sz w:val="32"/>
          <w:szCs w:val="32"/>
        </w:rPr>
        <w:t>南京市医疗保障局         南京市卫生健康委员会</w:t>
      </w:r>
    </w:p>
    <w:p>
      <w:pPr>
        <w:spacing w:line="560" w:lineRule="exact"/>
        <w:ind w:right="465"/>
        <w:jc w:val="right"/>
        <w:rPr>
          <w:rFonts w:eastAsia="仿宋_GB2312"/>
          <w:sz w:val="32"/>
          <w:szCs w:val="32"/>
        </w:rPr>
      </w:pPr>
      <w:r>
        <w:rPr>
          <w:rFonts w:eastAsia="仿宋_GB2312"/>
          <w:sz w:val="32"/>
          <w:szCs w:val="32"/>
        </w:rPr>
        <w:t>2020年6月</w:t>
      </w:r>
      <w:r>
        <w:rPr>
          <w:rFonts w:eastAsia="仿宋_GB2312" w:hint="eastAsia"/>
          <w:sz w:val="32"/>
          <w:szCs w:val="32"/>
        </w:rPr>
        <w:t>8</w:t>
      </w:r>
      <w:r>
        <w:rPr>
          <w:rFonts w:eastAsia="仿宋_GB2312"/>
          <w:sz w:val="32"/>
          <w:szCs w:val="32"/>
        </w:rPr>
        <w:t>日</w:t>
      </w:r>
    </w:p>
    <w:p>
      <w:pPr>
        <w:widowControl/>
        <w:spacing w:line="580" w:lineRule="exact"/>
        <w:jc w:val="left"/>
        <w:rPr>
          <w:rFonts w:eastAsia="黑体"/>
          <w:snapToGrid w:val="0"/>
          <w:kern w:val="0"/>
          <w:sz w:val="32"/>
          <w:szCs w:val="32"/>
        </w:rPr>
      </w:pPr>
      <w:r>
        <w:rPr>
          <w:rFonts w:eastAsia="方正仿宋简体"/>
          <w:snapToGrid w:val="0"/>
          <w:kern w:val="0"/>
          <w:sz w:val="32"/>
          <w:szCs w:val="32"/>
        </w:rPr>
        <w:br w:type="page"/>
      </w:r>
      <w:r>
        <w:rPr>
          <w:rFonts w:eastAsia="黑体"/>
          <w:snapToGrid w:val="0"/>
          <w:kern w:val="0"/>
          <w:sz w:val="32"/>
          <w:szCs w:val="32"/>
        </w:rPr>
        <w:t>附件</w:t>
      </w:r>
    </w:p>
    <w:p>
      <w:pPr>
        <w:widowControl/>
        <w:spacing w:line="580" w:lineRule="exact"/>
        <w:jc w:val="left"/>
        <w:rPr>
          <w:rFonts w:eastAsia="黑体"/>
          <w:snapToGrid w:val="0"/>
          <w:kern w:val="0"/>
          <w:sz w:val="32"/>
          <w:szCs w:val="32"/>
        </w:rPr>
      </w:pPr>
    </w:p>
    <w:p>
      <w:pPr>
        <w:widowControl/>
        <w:spacing w:line="580" w:lineRule="exact"/>
        <w:jc w:val="center"/>
        <w:rPr>
          <w:rFonts w:eastAsia="方正小标宋简体" w:hint="eastAsia"/>
          <w:sz w:val="44"/>
          <w:szCs w:val="32"/>
        </w:rPr>
      </w:pPr>
      <w:r>
        <w:rPr>
          <w:rFonts w:eastAsia="方正小标宋简体"/>
          <w:sz w:val="44"/>
          <w:szCs w:val="32"/>
        </w:rPr>
        <w:t>2019年国家医保药品目录</w:t>
      </w:r>
    </w:p>
    <w:p>
      <w:pPr>
        <w:widowControl/>
        <w:spacing w:line="580" w:lineRule="exact"/>
        <w:jc w:val="center"/>
        <w:rPr>
          <w:rFonts w:eastAsia="方正小标宋简体"/>
          <w:sz w:val="44"/>
          <w:szCs w:val="32"/>
        </w:rPr>
      </w:pPr>
      <w:r>
        <w:rPr>
          <w:rFonts w:eastAsia="方正小标宋简体"/>
          <w:sz w:val="44"/>
          <w:szCs w:val="32"/>
        </w:rPr>
        <w:t>抗恶性肿瘤靶向药名单</w:t>
      </w:r>
    </w:p>
    <w:p>
      <w:pPr>
        <w:widowControl/>
        <w:spacing w:line="580" w:lineRule="exact"/>
        <w:jc w:val="center"/>
        <w:rPr>
          <w:rFonts w:eastAsia="方正小标宋简体"/>
          <w:snapToGrid w:val="0"/>
          <w:kern w:val="0"/>
          <w:sz w:val="44"/>
          <w:szCs w:val="32"/>
        </w:rPr>
      </w:pPr>
    </w:p>
    <w:tbl>
      <w:tblPr>
        <w:jc w:val="left"/>
        <w:tblInd w:w="-601" w:type="dxa"/>
        <w:tblW w:w="54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897"/>
        <w:gridCol w:w="1350"/>
        <w:gridCol w:w="1169"/>
        <w:gridCol w:w="4583"/>
        <w:gridCol w:w="1639"/>
      </w:tblGrid>
      <w:tr>
        <w:trPr>
          <w:trHeight w:val="510"/>
          <w:tblHeader/>
        </w:trPr>
        <w:tc>
          <w:tcPr>
            <w:tcW w:w="362" w:type="pct"/>
            <w:vAlign w:val="center"/>
          </w:tcPr>
          <w:p>
            <w:pPr>
              <w:widowControl/>
              <w:spacing w:line="300" w:lineRule="exact"/>
              <w:jc w:val="center"/>
              <w:rPr>
                <w:rFonts w:eastAsia="黑体"/>
                <w:kern w:val="0"/>
                <w:sz w:val="24"/>
              </w:rPr>
            </w:pPr>
            <w:r>
              <w:rPr>
                <w:rFonts w:eastAsia="黑体"/>
                <w:kern w:val="0"/>
                <w:sz w:val="24"/>
              </w:rPr>
              <w:t>序号</w:t>
            </w:r>
          </w:p>
        </w:tc>
        <w:tc>
          <w:tcPr>
            <w:tcW w:w="725" w:type="pct"/>
            <w:shd w:val="clear" w:color="auto" w:fill="auto"/>
            <w:vAlign w:val="center"/>
          </w:tcPr>
          <w:p>
            <w:pPr>
              <w:widowControl/>
              <w:spacing w:line="300" w:lineRule="exact"/>
              <w:jc w:val="center"/>
              <w:rPr>
                <w:rFonts w:eastAsia="黑体"/>
                <w:kern w:val="0"/>
                <w:sz w:val="24"/>
              </w:rPr>
            </w:pPr>
            <w:r>
              <w:rPr>
                <w:rFonts w:eastAsia="黑体"/>
                <w:kern w:val="0"/>
                <w:sz w:val="24"/>
              </w:rPr>
              <w:t>药品名称</w:t>
            </w:r>
          </w:p>
        </w:tc>
        <w:tc>
          <w:tcPr>
            <w:tcW w:w="580" w:type="pct"/>
            <w:shd w:val="clear" w:color="auto" w:fill="auto"/>
            <w:vAlign w:val="center"/>
          </w:tcPr>
          <w:p>
            <w:pPr>
              <w:widowControl/>
              <w:spacing w:line="300" w:lineRule="exact"/>
              <w:jc w:val="center"/>
              <w:rPr>
                <w:rFonts w:eastAsia="黑体"/>
                <w:kern w:val="0"/>
                <w:sz w:val="24"/>
              </w:rPr>
            </w:pPr>
            <w:r>
              <w:rPr>
                <w:rFonts w:eastAsia="黑体"/>
                <w:kern w:val="0"/>
                <w:sz w:val="24"/>
              </w:rPr>
              <w:t>剂型</w:t>
            </w:r>
          </w:p>
        </w:tc>
        <w:tc>
          <w:tcPr>
            <w:tcW w:w="2609" w:type="pct"/>
            <w:shd w:val="clear" w:color="auto" w:fill="auto"/>
            <w:vAlign w:val="center"/>
          </w:tcPr>
          <w:p>
            <w:pPr>
              <w:widowControl/>
              <w:spacing w:line="300" w:lineRule="exact"/>
              <w:jc w:val="center"/>
              <w:rPr>
                <w:rFonts w:eastAsia="黑体"/>
                <w:color w:val="000000"/>
                <w:kern w:val="0"/>
                <w:sz w:val="24"/>
              </w:rPr>
            </w:pPr>
            <w:r>
              <w:rPr>
                <w:rFonts w:eastAsia="黑体"/>
                <w:color w:val="000000"/>
                <w:kern w:val="0"/>
                <w:sz w:val="24"/>
              </w:rPr>
              <w:t>医保支付范围</w:t>
            </w:r>
          </w:p>
        </w:tc>
        <w:tc>
          <w:tcPr>
            <w:tcW w:w="724" w:type="pct"/>
            <w:vAlign w:val="center"/>
          </w:tcPr>
          <w:p>
            <w:pPr>
              <w:widowControl/>
              <w:spacing w:line="300" w:lineRule="exact"/>
              <w:jc w:val="center"/>
              <w:rPr>
                <w:rFonts w:eastAsia="黑体"/>
                <w:color w:val="000000"/>
                <w:kern w:val="0"/>
                <w:sz w:val="24"/>
              </w:rPr>
            </w:pPr>
            <w:r>
              <w:rPr>
                <w:rFonts w:eastAsia="黑体"/>
                <w:color w:val="000000"/>
                <w:kern w:val="0"/>
                <w:sz w:val="24"/>
              </w:rPr>
              <w:t>备注</w:t>
            </w:r>
          </w:p>
        </w:tc>
      </w:tr>
      <w:tr>
        <w:trPr>
          <w:trHeight w:val="510"/>
        </w:trPr>
        <w:tc>
          <w:tcPr>
            <w:tcW w:w="362" w:type="pct"/>
            <w:vAlign w:val="center"/>
          </w:tcPr>
          <w:p>
            <w:pPr>
              <w:widowControl/>
              <w:spacing w:line="300" w:lineRule="exact"/>
              <w:jc w:val="center"/>
              <w:rPr>
                <w:rFonts w:eastAsia="仿宋_GB2312"/>
                <w:kern w:val="0"/>
                <w:sz w:val="24"/>
              </w:rPr>
            </w:pPr>
            <w:r>
              <w:rPr>
                <w:rFonts w:eastAsia="仿宋_GB2312"/>
                <w:kern w:val="0"/>
                <w:sz w:val="24"/>
              </w:rPr>
              <w:t>1</w:t>
            </w:r>
          </w:p>
        </w:tc>
        <w:tc>
          <w:tcPr>
            <w:tcW w:w="725" w:type="pct"/>
            <w:shd w:val="clear" w:color="auto" w:fill="auto"/>
            <w:vAlign w:val="center"/>
          </w:tcPr>
          <w:p>
            <w:pPr>
              <w:widowControl/>
              <w:spacing w:line="300" w:lineRule="exact"/>
              <w:jc w:val="center"/>
              <w:rPr>
                <w:rFonts w:eastAsia="仿宋_GB2312"/>
                <w:kern w:val="0"/>
                <w:sz w:val="24"/>
              </w:rPr>
            </w:pPr>
            <w:r>
              <w:rPr>
                <w:rFonts w:eastAsia="仿宋_GB2312"/>
                <w:kern w:val="0"/>
                <w:sz w:val="24"/>
              </w:rPr>
              <w:t>奥曲肽</w:t>
            </w:r>
          </w:p>
        </w:tc>
        <w:tc>
          <w:tcPr>
            <w:tcW w:w="580" w:type="pct"/>
            <w:shd w:val="clear" w:color="auto" w:fill="auto"/>
            <w:vAlign w:val="center"/>
          </w:tcPr>
          <w:p>
            <w:pPr>
              <w:widowControl/>
              <w:spacing w:line="300" w:lineRule="exact"/>
              <w:jc w:val="center"/>
              <w:rPr>
                <w:rFonts w:eastAsia="仿宋_GB2312"/>
                <w:kern w:val="0"/>
                <w:sz w:val="24"/>
              </w:rPr>
            </w:pPr>
            <w:r>
              <w:rPr>
                <w:rFonts w:eastAsia="仿宋_GB2312"/>
                <w:kern w:val="0"/>
                <w:sz w:val="24"/>
              </w:rPr>
              <w:t>微球注射剂</w:t>
            </w:r>
          </w:p>
        </w:tc>
        <w:tc>
          <w:tcPr>
            <w:tcW w:w="2609" w:type="pct"/>
            <w:shd w:val="clear" w:color="auto" w:fill="auto"/>
            <w:vAlign w:val="center"/>
          </w:tcPr>
          <w:p>
            <w:pPr>
              <w:widowControl/>
              <w:spacing w:line="300" w:lineRule="exact"/>
              <w:jc w:val="center"/>
              <w:rPr>
                <w:rFonts w:eastAsia="仿宋_GB2312"/>
                <w:kern w:val="0"/>
                <w:sz w:val="24"/>
              </w:rPr>
            </w:pPr>
            <w:r>
              <w:rPr>
                <w:rFonts w:eastAsia="仿宋_GB2312"/>
                <w:kern w:val="0"/>
                <w:sz w:val="24"/>
              </w:rPr>
              <w:t>限胃肠胰内分泌肿瘤，按说明书用药。</w:t>
            </w:r>
          </w:p>
        </w:tc>
        <w:tc>
          <w:tcPr>
            <w:tcW w:w="724" w:type="pct"/>
          </w:tcPr>
          <w:p>
            <w:pPr>
              <w:widowControl/>
              <w:spacing w:line="300" w:lineRule="exact"/>
              <w:jc w:val="center"/>
              <w:rPr>
                <w:rFonts w:eastAsia="仿宋_GB2312"/>
                <w:kern w:val="0"/>
                <w:sz w:val="24"/>
              </w:rPr>
            </w:pPr>
          </w:p>
        </w:tc>
      </w:tr>
      <w:tr>
        <w:trPr>
          <w:trHeight w:val="510"/>
        </w:trPr>
        <w:tc>
          <w:tcPr>
            <w:tcW w:w="362" w:type="pct"/>
            <w:vAlign w:val="center"/>
          </w:tcPr>
          <w:p>
            <w:pPr>
              <w:widowControl/>
              <w:spacing w:line="300" w:lineRule="exact"/>
              <w:jc w:val="center"/>
              <w:rPr>
                <w:rFonts w:eastAsia="仿宋_GB2312"/>
                <w:kern w:val="0"/>
                <w:sz w:val="24"/>
              </w:rPr>
            </w:pPr>
            <w:r>
              <w:rPr>
                <w:rFonts w:eastAsia="仿宋_GB2312"/>
                <w:kern w:val="0"/>
                <w:sz w:val="24"/>
              </w:rPr>
              <w:t>2</w:t>
            </w:r>
          </w:p>
        </w:tc>
        <w:tc>
          <w:tcPr>
            <w:tcW w:w="725" w:type="pct"/>
            <w:shd w:val="clear" w:color="auto" w:fill="auto"/>
            <w:vAlign w:val="center"/>
          </w:tcPr>
          <w:p>
            <w:pPr>
              <w:widowControl/>
              <w:spacing w:line="300" w:lineRule="exact"/>
              <w:jc w:val="center"/>
              <w:rPr>
                <w:rFonts w:eastAsia="仿宋_GB2312"/>
                <w:kern w:val="0"/>
                <w:sz w:val="24"/>
              </w:rPr>
            </w:pPr>
            <w:r>
              <w:rPr>
                <w:rFonts w:eastAsia="仿宋_GB2312"/>
                <w:kern w:val="0"/>
                <w:sz w:val="24"/>
              </w:rPr>
              <w:t>雷替曲塞</w:t>
            </w:r>
          </w:p>
        </w:tc>
        <w:tc>
          <w:tcPr>
            <w:tcW w:w="580" w:type="pct"/>
            <w:shd w:val="clear" w:color="auto" w:fill="auto"/>
            <w:vAlign w:val="center"/>
          </w:tcPr>
          <w:p>
            <w:pPr>
              <w:widowControl/>
              <w:spacing w:line="300" w:lineRule="exact"/>
              <w:jc w:val="center"/>
              <w:rPr>
                <w:rFonts w:eastAsia="仿宋_GB2312"/>
                <w:kern w:val="0"/>
                <w:sz w:val="24"/>
              </w:rPr>
            </w:pPr>
            <w:r>
              <w:rPr>
                <w:rFonts w:eastAsia="仿宋_GB2312"/>
                <w:kern w:val="0"/>
                <w:sz w:val="24"/>
              </w:rPr>
              <w:t>注射剂</w:t>
            </w:r>
          </w:p>
        </w:tc>
        <w:tc>
          <w:tcPr>
            <w:tcW w:w="2609" w:type="pct"/>
            <w:shd w:val="clear" w:color="auto" w:fill="auto"/>
            <w:vAlign w:val="center"/>
          </w:tcPr>
          <w:p>
            <w:pPr>
              <w:widowControl/>
              <w:spacing w:line="300" w:lineRule="exact"/>
              <w:jc w:val="center"/>
              <w:rPr>
                <w:rFonts w:eastAsia="仿宋_GB2312"/>
                <w:color w:val="000000"/>
                <w:kern w:val="0"/>
                <w:sz w:val="24"/>
              </w:rPr>
            </w:pPr>
            <w:r>
              <w:rPr>
                <w:rFonts w:eastAsia="仿宋_GB2312"/>
                <w:color w:val="000000"/>
                <w:kern w:val="0"/>
                <w:sz w:val="24"/>
              </w:rPr>
              <w:t>限氟尿嘧啶类药物不耐受的晚期结直肠癌患者。</w:t>
            </w:r>
          </w:p>
        </w:tc>
        <w:tc>
          <w:tcPr>
            <w:tcW w:w="724" w:type="pct"/>
          </w:tcPr>
          <w:p>
            <w:pPr>
              <w:widowControl/>
              <w:spacing w:line="300" w:lineRule="exact"/>
              <w:jc w:val="center"/>
              <w:rPr>
                <w:rFonts w:eastAsia="仿宋_GB2312"/>
                <w:color w:val="000000"/>
                <w:kern w:val="0"/>
                <w:sz w:val="24"/>
              </w:rPr>
            </w:pPr>
          </w:p>
        </w:tc>
      </w:tr>
      <w:tr>
        <w:trPr>
          <w:trHeight w:val="1515"/>
        </w:trPr>
        <w:tc>
          <w:tcPr>
            <w:tcW w:w="362" w:type="pct"/>
            <w:vAlign w:val="center"/>
          </w:tcPr>
          <w:p>
            <w:pPr>
              <w:widowControl/>
              <w:spacing w:line="300" w:lineRule="exact"/>
              <w:jc w:val="center"/>
              <w:rPr>
                <w:rFonts w:eastAsia="仿宋_GB2312"/>
                <w:kern w:val="0"/>
                <w:sz w:val="24"/>
              </w:rPr>
            </w:pPr>
            <w:r>
              <w:rPr>
                <w:rFonts w:eastAsia="仿宋_GB2312"/>
                <w:kern w:val="0"/>
                <w:sz w:val="24"/>
              </w:rPr>
              <w:t>3</w:t>
            </w:r>
          </w:p>
        </w:tc>
        <w:tc>
          <w:tcPr>
            <w:tcW w:w="725" w:type="pct"/>
            <w:shd w:val="clear" w:color="auto" w:fill="auto"/>
            <w:vAlign w:val="center"/>
          </w:tcPr>
          <w:p>
            <w:pPr>
              <w:widowControl/>
              <w:spacing w:line="300" w:lineRule="exact"/>
              <w:jc w:val="center"/>
              <w:rPr>
                <w:rFonts w:eastAsia="仿宋_GB2312"/>
                <w:kern w:val="0"/>
                <w:sz w:val="24"/>
              </w:rPr>
            </w:pPr>
            <w:r>
              <w:rPr>
                <w:rFonts w:eastAsia="仿宋_GB2312"/>
                <w:kern w:val="0"/>
                <w:sz w:val="24"/>
              </w:rPr>
              <w:t>阿扎胞苷</w:t>
            </w:r>
          </w:p>
        </w:tc>
        <w:tc>
          <w:tcPr>
            <w:tcW w:w="580" w:type="pct"/>
            <w:shd w:val="clear" w:color="auto" w:fill="auto"/>
            <w:vAlign w:val="center"/>
          </w:tcPr>
          <w:p>
            <w:pPr>
              <w:widowControl/>
              <w:spacing w:line="300" w:lineRule="exact"/>
              <w:jc w:val="center"/>
              <w:rPr>
                <w:rFonts w:eastAsia="仿宋_GB2312"/>
                <w:kern w:val="0"/>
                <w:sz w:val="24"/>
              </w:rPr>
            </w:pPr>
            <w:r>
              <w:rPr>
                <w:rFonts w:eastAsia="仿宋_GB2312"/>
                <w:kern w:val="0"/>
                <w:sz w:val="24"/>
              </w:rPr>
              <w:t>注射剂</w:t>
            </w:r>
          </w:p>
        </w:tc>
        <w:tc>
          <w:tcPr>
            <w:tcW w:w="2609" w:type="pct"/>
            <w:shd w:val="clear" w:color="auto" w:fill="auto"/>
            <w:vAlign w:val="center"/>
          </w:tcPr>
          <w:p>
            <w:pPr>
              <w:widowControl/>
              <w:spacing w:line="300" w:lineRule="exact"/>
              <w:jc w:val="center"/>
              <w:rPr>
                <w:rFonts w:eastAsia="仿宋_GB2312"/>
                <w:color w:val="000000"/>
                <w:kern w:val="0"/>
                <w:sz w:val="24"/>
              </w:rPr>
            </w:pPr>
            <w:r>
              <w:rPr>
                <w:rFonts w:eastAsia="仿宋_GB2312"/>
                <w:color w:val="000000"/>
                <w:kern w:val="0"/>
                <w:sz w:val="24"/>
              </w:rPr>
              <w:t>成年患者中1.国际预后评分系统（IPSS）中的中危-2及高危骨髓增生异常综合征（MDS)；2.慢性粒-单核细胞白血病（CMML)；3.按照世界卫生组织（WHO）分类的急性髓系白血病（AML）、骨髓原始细胞为20-30%伴多系发育异常的治疗。</w:t>
            </w:r>
          </w:p>
        </w:tc>
        <w:tc>
          <w:tcPr>
            <w:tcW w:w="724" w:type="pct"/>
          </w:tcPr>
          <w:p>
            <w:pPr>
              <w:widowControl/>
              <w:spacing w:line="300" w:lineRule="exact"/>
              <w:jc w:val="center"/>
              <w:rPr>
                <w:rFonts w:eastAsia="仿宋_GB2312"/>
                <w:color w:val="000000"/>
                <w:kern w:val="0"/>
                <w:sz w:val="24"/>
              </w:rPr>
            </w:pPr>
          </w:p>
        </w:tc>
      </w:tr>
      <w:tr>
        <w:trPr>
          <w:trHeight w:val="236"/>
        </w:trPr>
        <w:tc>
          <w:tcPr>
            <w:tcW w:w="362" w:type="pct"/>
            <w:vAlign w:val="center"/>
          </w:tcPr>
          <w:p>
            <w:pPr>
              <w:widowControl/>
              <w:spacing w:line="300" w:lineRule="exact"/>
              <w:jc w:val="center"/>
              <w:rPr>
                <w:rFonts w:eastAsia="仿宋_GB2312"/>
                <w:kern w:val="0"/>
                <w:sz w:val="24"/>
              </w:rPr>
            </w:pPr>
            <w:r>
              <w:rPr>
                <w:rFonts w:eastAsia="仿宋_GB2312"/>
                <w:kern w:val="0"/>
                <w:sz w:val="24"/>
              </w:rPr>
              <w:t>4</w:t>
            </w:r>
          </w:p>
        </w:tc>
        <w:tc>
          <w:tcPr>
            <w:tcW w:w="725" w:type="pct"/>
            <w:shd w:val="clear" w:color="auto" w:fill="auto"/>
            <w:vAlign w:val="center"/>
          </w:tcPr>
          <w:p>
            <w:pPr>
              <w:widowControl/>
              <w:spacing w:line="300" w:lineRule="exact"/>
              <w:jc w:val="center"/>
              <w:rPr>
                <w:rFonts w:eastAsia="仿宋_GB2312"/>
                <w:kern w:val="0"/>
                <w:sz w:val="24"/>
              </w:rPr>
            </w:pPr>
            <w:r>
              <w:rPr>
                <w:rFonts w:eastAsia="仿宋_GB2312"/>
                <w:kern w:val="0"/>
                <w:sz w:val="24"/>
              </w:rPr>
              <w:t>西妥昔单抗</w:t>
            </w:r>
          </w:p>
        </w:tc>
        <w:tc>
          <w:tcPr>
            <w:tcW w:w="580" w:type="pct"/>
            <w:shd w:val="clear" w:color="auto" w:fill="auto"/>
            <w:vAlign w:val="center"/>
          </w:tcPr>
          <w:p>
            <w:pPr>
              <w:widowControl/>
              <w:spacing w:line="300" w:lineRule="exact"/>
              <w:jc w:val="center"/>
              <w:rPr>
                <w:rFonts w:eastAsia="仿宋_GB2312"/>
                <w:kern w:val="0"/>
                <w:sz w:val="24"/>
              </w:rPr>
            </w:pPr>
            <w:r>
              <w:rPr>
                <w:rFonts w:eastAsia="仿宋_GB2312"/>
                <w:kern w:val="0"/>
                <w:sz w:val="24"/>
              </w:rPr>
              <w:t>注射剂</w:t>
            </w:r>
          </w:p>
        </w:tc>
        <w:tc>
          <w:tcPr>
            <w:tcW w:w="2609" w:type="pct"/>
            <w:shd w:val="clear" w:color="auto" w:fill="auto"/>
            <w:vAlign w:val="center"/>
          </w:tcPr>
          <w:p>
            <w:pPr>
              <w:widowControl/>
              <w:spacing w:line="300" w:lineRule="exact"/>
              <w:jc w:val="center"/>
              <w:rPr>
                <w:rFonts w:eastAsia="仿宋_GB2312"/>
                <w:kern w:val="0"/>
                <w:sz w:val="24"/>
              </w:rPr>
            </w:pPr>
            <w:r>
              <w:rPr>
                <w:rFonts w:eastAsia="仿宋_GB2312"/>
                <w:kern w:val="0"/>
                <w:sz w:val="24"/>
              </w:rPr>
              <w:t>限RAS基因野生型的转移性结直肠癌。</w:t>
            </w:r>
          </w:p>
        </w:tc>
        <w:tc>
          <w:tcPr>
            <w:tcW w:w="724" w:type="pct"/>
          </w:tcPr>
          <w:p>
            <w:pPr>
              <w:widowControl/>
              <w:spacing w:line="300" w:lineRule="exact"/>
              <w:jc w:val="center"/>
              <w:rPr>
                <w:rFonts w:eastAsia="仿宋_GB2312"/>
                <w:kern w:val="0"/>
                <w:sz w:val="24"/>
              </w:rPr>
            </w:pPr>
          </w:p>
        </w:tc>
      </w:tr>
      <w:tr>
        <w:trPr>
          <w:trHeight w:val="339"/>
        </w:trPr>
        <w:tc>
          <w:tcPr>
            <w:tcW w:w="362" w:type="pct"/>
            <w:vAlign w:val="center"/>
          </w:tcPr>
          <w:p>
            <w:pPr>
              <w:widowControl/>
              <w:spacing w:line="300" w:lineRule="exact"/>
              <w:jc w:val="center"/>
              <w:rPr>
                <w:rFonts w:eastAsia="仿宋_GB2312"/>
                <w:kern w:val="0"/>
                <w:sz w:val="24"/>
              </w:rPr>
            </w:pPr>
            <w:r>
              <w:rPr>
                <w:rFonts w:eastAsia="仿宋_GB2312"/>
                <w:kern w:val="0"/>
                <w:sz w:val="24"/>
              </w:rPr>
              <w:t>5</w:t>
            </w:r>
          </w:p>
        </w:tc>
        <w:tc>
          <w:tcPr>
            <w:tcW w:w="725" w:type="pct"/>
            <w:shd w:val="clear" w:color="auto" w:fill="auto"/>
            <w:vAlign w:val="center"/>
          </w:tcPr>
          <w:p>
            <w:pPr>
              <w:widowControl/>
              <w:spacing w:line="300" w:lineRule="exact"/>
              <w:jc w:val="center"/>
              <w:rPr>
                <w:rFonts w:eastAsia="仿宋_GB2312"/>
                <w:kern w:val="0"/>
                <w:sz w:val="24"/>
              </w:rPr>
            </w:pPr>
            <w:r>
              <w:rPr>
                <w:rFonts w:eastAsia="仿宋_GB2312"/>
                <w:kern w:val="0"/>
                <w:sz w:val="24"/>
              </w:rPr>
              <w:t>贝伐珠单抗</w:t>
            </w:r>
          </w:p>
        </w:tc>
        <w:tc>
          <w:tcPr>
            <w:tcW w:w="580" w:type="pct"/>
            <w:shd w:val="clear" w:color="auto" w:fill="auto"/>
            <w:vAlign w:val="center"/>
          </w:tcPr>
          <w:p>
            <w:pPr>
              <w:widowControl/>
              <w:spacing w:line="300" w:lineRule="exact"/>
              <w:jc w:val="center"/>
              <w:rPr>
                <w:rFonts w:eastAsia="仿宋_GB2312"/>
                <w:kern w:val="0"/>
                <w:sz w:val="24"/>
              </w:rPr>
            </w:pPr>
            <w:r>
              <w:rPr>
                <w:rFonts w:eastAsia="仿宋_GB2312"/>
                <w:kern w:val="0"/>
                <w:sz w:val="24"/>
              </w:rPr>
              <w:t>注射剂</w:t>
            </w:r>
          </w:p>
        </w:tc>
        <w:tc>
          <w:tcPr>
            <w:tcW w:w="2609" w:type="pct"/>
            <w:shd w:val="clear" w:color="auto" w:fill="auto"/>
            <w:vAlign w:val="center"/>
          </w:tcPr>
          <w:p>
            <w:pPr>
              <w:widowControl/>
              <w:spacing w:line="300" w:lineRule="exact"/>
              <w:jc w:val="center"/>
              <w:rPr>
                <w:rFonts w:eastAsia="仿宋_GB2312"/>
                <w:kern w:val="0"/>
                <w:sz w:val="24"/>
              </w:rPr>
            </w:pPr>
            <w:r>
              <w:rPr>
                <w:rFonts w:eastAsia="仿宋_GB2312"/>
                <w:kern w:val="0"/>
                <w:sz w:val="24"/>
              </w:rPr>
              <w:t>限晚期转移性结直肠癌或晚期非鳞非小细胞肺癌。</w:t>
            </w:r>
          </w:p>
        </w:tc>
        <w:tc>
          <w:tcPr>
            <w:tcW w:w="724" w:type="pct"/>
          </w:tcPr>
          <w:p>
            <w:pPr>
              <w:widowControl/>
              <w:spacing w:line="300" w:lineRule="exact"/>
              <w:jc w:val="center"/>
              <w:rPr>
                <w:rFonts w:eastAsia="仿宋_GB2312"/>
                <w:kern w:val="0"/>
                <w:sz w:val="24"/>
              </w:rPr>
            </w:pPr>
          </w:p>
        </w:tc>
      </w:tr>
      <w:tr>
        <w:trPr>
          <w:trHeight w:val="510"/>
        </w:trPr>
        <w:tc>
          <w:tcPr>
            <w:tcW w:w="362" w:type="pct"/>
            <w:vAlign w:val="center"/>
          </w:tcPr>
          <w:p>
            <w:pPr>
              <w:widowControl/>
              <w:spacing w:line="300" w:lineRule="exact"/>
              <w:jc w:val="center"/>
              <w:rPr>
                <w:rFonts w:eastAsia="仿宋_GB2312"/>
                <w:kern w:val="0"/>
                <w:sz w:val="24"/>
              </w:rPr>
            </w:pPr>
            <w:r>
              <w:rPr>
                <w:rFonts w:eastAsia="仿宋_GB2312"/>
                <w:kern w:val="0"/>
                <w:sz w:val="24"/>
              </w:rPr>
              <w:t>6</w:t>
            </w:r>
          </w:p>
        </w:tc>
        <w:tc>
          <w:tcPr>
            <w:tcW w:w="725" w:type="pct"/>
            <w:shd w:val="clear" w:color="auto" w:fill="auto"/>
            <w:vAlign w:val="center"/>
          </w:tcPr>
          <w:p>
            <w:pPr>
              <w:widowControl/>
              <w:spacing w:line="300" w:lineRule="exact"/>
              <w:jc w:val="center"/>
              <w:rPr>
                <w:rFonts w:eastAsia="仿宋_GB2312"/>
                <w:kern w:val="0"/>
                <w:sz w:val="24"/>
              </w:rPr>
            </w:pPr>
            <w:r>
              <w:rPr>
                <w:rFonts w:eastAsia="仿宋_GB2312"/>
                <w:kern w:val="0"/>
                <w:sz w:val="24"/>
              </w:rPr>
              <w:t>尼妥珠单抗</w:t>
            </w:r>
          </w:p>
        </w:tc>
        <w:tc>
          <w:tcPr>
            <w:tcW w:w="580" w:type="pct"/>
            <w:shd w:val="clear" w:color="auto" w:fill="auto"/>
            <w:vAlign w:val="center"/>
          </w:tcPr>
          <w:p>
            <w:pPr>
              <w:widowControl/>
              <w:spacing w:line="300" w:lineRule="exact"/>
              <w:jc w:val="center"/>
              <w:rPr>
                <w:rFonts w:eastAsia="仿宋_GB2312"/>
                <w:kern w:val="0"/>
                <w:sz w:val="24"/>
              </w:rPr>
            </w:pPr>
            <w:r>
              <w:rPr>
                <w:rFonts w:eastAsia="仿宋_GB2312"/>
                <w:kern w:val="0"/>
                <w:sz w:val="24"/>
              </w:rPr>
              <w:t>注射剂</w:t>
            </w:r>
          </w:p>
        </w:tc>
        <w:tc>
          <w:tcPr>
            <w:tcW w:w="2609" w:type="pct"/>
            <w:shd w:val="clear" w:color="auto" w:fill="auto"/>
            <w:vAlign w:val="center"/>
          </w:tcPr>
          <w:p>
            <w:pPr>
              <w:widowControl/>
              <w:spacing w:line="300" w:lineRule="exact"/>
              <w:jc w:val="center"/>
              <w:rPr>
                <w:rFonts w:eastAsia="仿宋_GB2312"/>
                <w:kern w:val="0"/>
                <w:sz w:val="24"/>
              </w:rPr>
            </w:pPr>
            <w:r>
              <w:rPr>
                <w:rFonts w:eastAsia="仿宋_GB2312"/>
                <w:kern w:val="0"/>
                <w:sz w:val="24"/>
              </w:rPr>
              <w:t>限与放疗联合治疗表皮生长因子受体（EGFR）表达阳性的III/IV期鼻咽癌。</w:t>
            </w:r>
          </w:p>
        </w:tc>
        <w:tc>
          <w:tcPr>
            <w:tcW w:w="724" w:type="pct"/>
          </w:tcPr>
          <w:p>
            <w:pPr>
              <w:widowControl/>
              <w:spacing w:line="300" w:lineRule="exact"/>
              <w:jc w:val="center"/>
              <w:rPr>
                <w:rFonts w:eastAsia="仿宋_GB2312"/>
                <w:kern w:val="0"/>
                <w:sz w:val="24"/>
              </w:rPr>
            </w:pPr>
          </w:p>
        </w:tc>
      </w:tr>
      <w:tr>
        <w:trPr>
          <w:trHeight w:val="1005"/>
        </w:trPr>
        <w:tc>
          <w:tcPr>
            <w:tcW w:w="362" w:type="pct"/>
            <w:vAlign w:val="center"/>
          </w:tcPr>
          <w:p>
            <w:pPr>
              <w:widowControl/>
              <w:spacing w:line="300" w:lineRule="exact"/>
              <w:jc w:val="center"/>
              <w:rPr>
                <w:rFonts w:eastAsia="仿宋_GB2312"/>
                <w:kern w:val="0"/>
                <w:sz w:val="24"/>
              </w:rPr>
            </w:pPr>
            <w:r>
              <w:rPr>
                <w:rFonts w:eastAsia="仿宋_GB2312"/>
                <w:kern w:val="0"/>
                <w:sz w:val="24"/>
              </w:rPr>
              <w:t>7</w:t>
            </w:r>
          </w:p>
        </w:tc>
        <w:tc>
          <w:tcPr>
            <w:tcW w:w="725" w:type="pct"/>
            <w:shd w:val="clear" w:color="auto" w:fill="auto"/>
            <w:vAlign w:val="center"/>
          </w:tcPr>
          <w:p>
            <w:pPr>
              <w:widowControl/>
              <w:spacing w:line="300" w:lineRule="exact"/>
              <w:jc w:val="center"/>
              <w:rPr>
                <w:rFonts w:eastAsia="仿宋_GB2312"/>
                <w:kern w:val="0"/>
                <w:sz w:val="24"/>
              </w:rPr>
            </w:pPr>
            <w:r>
              <w:rPr>
                <w:rFonts w:eastAsia="仿宋_GB2312"/>
                <w:kern w:val="0"/>
                <w:sz w:val="24"/>
              </w:rPr>
              <w:t>曲妥珠单抗</w:t>
            </w:r>
          </w:p>
        </w:tc>
        <w:tc>
          <w:tcPr>
            <w:tcW w:w="580" w:type="pct"/>
            <w:shd w:val="clear" w:color="auto" w:fill="auto"/>
            <w:vAlign w:val="center"/>
          </w:tcPr>
          <w:p>
            <w:pPr>
              <w:widowControl/>
              <w:spacing w:line="300" w:lineRule="exact"/>
              <w:jc w:val="center"/>
              <w:rPr>
                <w:rFonts w:eastAsia="仿宋_GB2312"/>
                <w:kern w:val="0"/>
                <w:sz w:val="24"/>
              </w:rPr>
            </w:pPr>
            <w:r>
              <w:rPr>
                <w:rFonts w:eastAsia="仿宋_GB2312"/>
                <w:kern w:val="0"/>
                <w:sz w:val="24"/>
              </w:rPr>
              <w:t>注射剂</w:t>
            </w:r>
          </w:p>
        </w:tc>
        <w:tc>
          <w:tcPr>
            <w:tcW w:w="2609" w:type="pct"/>
            <w:shd w:val="clear" w:color="auto" w:fill="auto"/>
            <w:vAlign w:val="center"/>
          </w:tcPr>
          <w:p>
            <w:pPr>
              <w:widowControl/>
              <w:spacing w:line="300" w:lineRule="exact"/>
              <w:jc w:val="center"/>
              <w:rPr>
                <w:rFonts w:eastAsia="仿宋_GB2312"/>
                <w:color w:val="000000"/>
                <w:kern w:val="0"/>
                <w:sz w:val="24"/>
              </w:rPr>
            </w:pPr>
            <w:r>
              <w:rPr>
                <w:rFonts w:eastAsia="仿宋_GB2312"/>
                <w:color w:val="000000"/>
                <w:kern w:val="0"/>
                <w:sz w:val="24"/>
              </w:rPr>
              <w:t>限以下情况方可支付：1.HER2阳性的转移性乳腺癌；2.HER2阳性的早期乳腺癌患者的辅助和新辅助治疗，支付不超过12个月；3.HER2阳性的转移性胃癌患者。</w:t>
            </w:r>
          </w:p>
        </w:tc>
        <w:tc>
          <w:tcPr>
            <w:tcW w:w="724" w:type="pct"/>
          </w:tcPr>
          <w:p>
            <w:pPr>
              <w:widowControl/>
              <w:spacing w:line="300" w:lineRule="exact"/>
              <w:jc w:val="center"/>
              <w:rPr>
                <w:rFonts w:eastAsia="仿宋_GB2312"/>
                <w:color w:val="000000"/>
                <w:kern w:val="0"/>
                <w:sz w:val="24"/>
              </w:rPr>
            </w:pPr>
          </w:p>
        </w:tc>
      </w:tr>
      <w:tr>
        <w:trPr>
          <w:trHeight w:val="274"/>
        </w:trPr>
        <w:tc>
          <w:tcPr>
            <w:tcW w:w="362" w:type="pct"/>
            <w:vAlign w:val="center"/>
          </w:tcPr>
          <w:p>
            <w:pPr>
              <w:widowControl/>
              <w:spacing w:line="300" w:lineRule="exact"/>
              <w:jc w:val="center"/>
              <w:rPr>
                <w:rFonts w:eastAsia="仿宋_GB2312"/>
                <w:kern w:val="0"/>
                <w:sz w:val="24"/>
              </w:rPr>
            </w:pPr>
            <w:r>
              <w:rPr>
                <w:rFonts w:eastAsia="仿宋_GB2312"/>
                <w:kern w:val="0"/>
                <w:sz w:val="24"/>
              </w:rPr>
              <w:t>8</w:t>
            </w:r>
          </w:p>
        </w:tc>
        <w:tc>
          <w:tcPr>
            <w:tcW w:w="725" w:type="pct"/>
            <w:shd w:val="clear" w:color="auto" w:fill="auto"/>
            <w:vAlign w:val="center"/>
          </w:tcPr>
          <w:p>
            <w:pPr>
              <w:widowControl/>
              <w:spacing w:line="300" w:lineRule="exact"/>
              <w:jc w:val="center"/>
              <w:rPr>
                <w:rFonts w:eastAsia="仿宋_GB2312"/>
                <w:kern w:val="0"/>
                <w:sz w:val="24"/>
              </w:rPr>
            </w:pPr>
            <w:r>
              <w:rPr>
                <w:rFonts w:eastAsia="仿宋_GB2312"/>
                <w:kern w:val="0"/>
                <w:sz w:val="24"/>
              </w:rPr>
              <w:t>帕妥珠单抗</w:t>
            </w:r>
          </w:p>
        </w:tc>
        <w:tc>
          <w:tcPr>
            <w:tcW w:w="580" w:type="pct"/>
            <w:shd w:val="clear" w:color="auto" w:fill="auto"/>
            <w:vAlign w:val="center"/>
          </w:tcPr>
          <w:p>
            <w:pPr>
              <w:widowControl/>
              <w:spacing w:line="300" w:lineRule="exact"/>
              <w:jc w:val="center"/>
              <w:rPr>
                <w:rFonts w:eastAsia="仿宋_GB2312"/>
                <w:kern w:val="0"/>
                <w:sz w:val="24"/>
              </w:rPr>
            </w:pPr>
            <w:r>
              <w:rPr>
                <w:rFonts w:eastAsia="仿宋_GB2312"/>
                <w:kern w:val="0"/>
                <w:sz w:val="24"/>
              </w:rPr>
              <w:t>注射剂</w:t>
            </w:r>
          </w:p>
        </w:tc>
        <w:tc>
          <w:tcPr>
            <w:tcW w:w="2609" w:type="pct"/>
            <w:shd w:val="clear" w:color="auto" w:fill="auto"/>
            <w:vAlign w:val="center"/>
          </w:tcPr>
          <w:p>
            <w:pPr>
              <w:widowControl/>
              <w:spacing w:line="300" w:lineRule="exact"/>
              <w:jc w:val="center"/>
              <w:rPr>
                <w:rFonts w:eastAsia="仿宋_GB2312"/>
                <w:color w:val="000000"/>
                <w:kern w:val="0"/>
                <w:sz w:val="24"/>
              </w:rPr>
            </w:pPr>
            <w:r>
              <w:rPr>
                <w:rFonts w:eastAsia="仿宋_GB2312"/>
                <w:color w:val="000000"/>
                <w:kern w:val="0"/>
                <w:sz w:val="24"/>
              </w:rPr>
              <w:t>限以下情况方可支付，且支付不超过12个月：1.HER2阳性的局部晚期、炎性或早期乳腺癌患者的新辅助治疗。2.具有高复发风险HER2阳性早期乳腺癌患者的辅助治疗。</w:t>
            </w:r>
          </w:p>
        </w:tc>
        <w:tc>
          <w:tcPr>
            <w:tcW w:w="724" w:type="pct"/>
          </w:tcPr>
          <w:p>
            <w:pPr>
              <w:widowControl/>
              <w:spacing w:line="300" w:lineRule="exact"/>
              <w:jc w:val="center"/>
              <w:rPr>
                <w:rFonts w:eastAsia="仿宋_GB2312"/>
                <w:color w:val="000000"/>
                <w:kern w:val="0"/>
                <w:sz w:val="24"/>
              </w:rPr>
            </w:pPr>
          </w:p>
        </w:tc>
      </w:tr>
      <w:tr>
        <w:trPr>
          <w:trHeight w:val="510"/>
        </w:trPr>
        <w:tc>
          <w:tcPr>
            <w:tcW w:w="362" w:type="pct"/>
            <w:vAlign w:val="center"/>
          </w:tcPr>
          <w:p>
            <w:pPr>
              <w:widowControl/>
              <w:spacing w:line="300" w:lineRule="exact"/>
              <w:jc w:val="center"/>
              <w:rPr>
                <w:rFonts w:eastAsia="仿宋_GB2312"/>
                <w:kern w:val="0"/>
                <w:sz w:val="24"/>
              </w:rPr>
            </w:pPr>
            <w:r>
              <w:rPr>
                <w:rFonts w:eastAsia="仿宋_GB2312"/>
                <w:kern w:val="0"/>
                <w:sz w:val="24"/>
              </w:rPr>
              <w:t>9</w:t>
            </w:r>
          </w:p>
        </w:tc>
        <w:tc>
          <w:tcPr>
            <w:tcW w:w="725" w:type="pct"/>
            <w:shd w:val="clear" w:color="auto" w:fill="auto"/>
            <w:vAlign w:val="center"/>
          </w:tcPr>
          <w:p>
            <w:pPr>
              <w:widowControl/>
              <w:spacing w:line="300" w:lineRule="exact"/>
              <w:jc w:val="center"/>
              <w:rPr>
                <w:rFonts w:eastAsia="仿宋_GB2312"/>
                <w:kern w:val="0"/>
                <w:sz w:val="24"/>
              </w:rPr>
            </w:pPr>
            <w:r>
              <w:rPr>
                <w:rFonts w:eastAsia="仿宋_GB2312"/>
                <w:kern w:val="0"/>
                <w:sz w:val="24"/>
              </w:rPr>
              <w:t>信迪利单抗</w:t>
            </w:r>
          </w:p>
        </w:tc>
        <w:tc>
          <w:tcPr>
            <w:tcW w:w="580" w:type="pct"/>
            <w:shd w:val="clear" w:color="auto" w:fill="auto"/>
            <w:vAlign w:val="center"/>
          </w:tcPr>
          <w:p>
            <w:pPr>
              <w:widowControl/>
              <w:spacing w:line="300" w:lineRule="exact"/>
              <w:jc w:val="center"/>
              <w:rPr>
                <w:rFonts w:eastAsia="仿宋_GB2312"/>
                <w:kern w:val="0"/>
                <w:sz w:val="24"/>
              </w:rPr>
            </w:pPr>
            <w:r>
              <w:rPr>
                <w:rFonts w:eastAsia="仿宋_GB2312"/>
                <w:kern w:val="0"/>
                <w:sz w:val="24"/>
              </w:rPr>
              <w:t>注射剂</w:t>
            </w:r>
          </w:p>
        </w:tc>
        <w:tc>
          <w:tcPr>
            <w:tcW w:w="2609" w:type="pct"/>
            <w:shd w:val="clear" w:color="auto" w:fill="auto"/>
            <w:vAlign w:val="center"/>
          </w:tcPr>
          <w:p>
            <w:pPr>
              <w:widowControl/>
              <w:spacing w:line="300" w:lineRule="exact"/>
              <w:jc w:val="center"/>
              <w:rPr>
                <w:rFonts w:eastAsia="仿宋_GB2312"/>
                <w:color w:val="000000"/>
                <w:kern w:val="0"/>
                <w:sz w:val="24"/>
              </w:rPr>
            </w:pPr>
            <w:r>
              <w:rPr>
                <w:rFonts w:eastAsia="仿宋_GB2312"/>
                <w:color w:val="000000"/>
                <w:kern w:val="0"/>
                <w:sz w:val="24"/>
              </w:rPr>
              <w:t>限至少经过二线系统化疗的复发或难治性经典型霍奇金淋巴瘤的患者。</w:t>
            </w:r>
          </w:p>
        </w:tc>
        <w:tc>
          <w:tcPr>
            <w:tcW w:w="724" w:type="pct"/>
          </w:tcPr>
          <w:p>
            <w:pPr>
              <w:widowControl/>
              <w:spacing w:line="300" w:lineRule="exact"/>
              <w:jc w:val="center"/>
              <w:rPr>
                <w:rFonts w:eastAsia="仿宋_GB2312"/>
                <w:color w:val="000000"/>
                <w:kern w:val="0"/>
                <w:sz w:val="24"/>
              </w:rPr>
            </w:pPr>
          </w:p>
        </w:tc>
      </w:tr>
      <w:tr>
        <w:trPr>
          <w:trHeight w:val="291"/>
        </w:trPr>
        <w:tc>
          <w:tcPr>
            <w:tcW w:w="362" w:type="pct"/>
            <w:vAlign w:val="center"/>
          </w:tcPr>
          <w:p>
            <w:pPr>
              <w:widowControl/>
              <w:spacing w:line="300" w:lineRule="exact"/>
              <w:jc w:val="center"/>
              <w:rPr>
                <w:rFonts w:eastAsia="仿宋_GB2312"/>
                <w:kern w:val="0"/>
                <w:sz w:val="24"/>
              </w:rPr>
            </w:pPr>
            <w:r>
              <w:rPr>
                <w:rFonts w:eastAsia="仿宋_GB2312"/>
                <w:kern w:val="0"/>
                <w:sz w:val="24"/>
              </w:rPr>
              <w:t>10</w:t>
            </w:r>
          </w:p>
        </w:tc>
        <w:tc>
          <w:tcPr>
            <w:tcW w:w="725" w:type="pct"/>
            <w:shd w:val="clear" w:color="auto" w:fill="auto"/>
            <w:vAlign w:val="center"/>
          </w:tcPr>
          <w:p>
            <w:pPr>
              <w:widowControl/>
              <w:spacing w:line="300" w:lineRule="exact"/>
              <w:jc w:val="center"/>
              <w:rPr>
                <w:rFonts w:eastAsia="仿宋_GB2312"/>
                <w:kern w:val="0"/>
                <w:sz w:val="24"/>
              </w:rPr>
            </w:pPr>
            <w:r>
              <w:rPr>
                <w:rFonts w:eastAsia="仿宋_GB2312"/>
                <w:kern w:val="0"/>
                <w:sz w:val="24"/>
              </w:rPr>
              <w:t>培门冬酶</w:t>
            </w:r>
          </w:p>
        </w:tc>
        <w:tc>
          <w:tcPr>
            <w:tcW w:w="580" w:type="pct"/>
            <w:shd w:val="clear" w:color="auto" w:fill="auto"/>
            <w:vAlign w:val="center"/>
          </w:tcPr>
          <w:p>
            <w:pPr>
              <w:widowControl/>
              <w:spacing w:line="300" w:lineRule="exact"/>
              <w:jc w:val="center"/>
              <w:rPr>
                <w:rFonts w:eastAsia="仿宋_GB2312"/>
                <w:kern w:val="0"/>
                <w:sz w:val="24"/>
              </w:rPr>
            </w:pPr>
            <w:r>
              <w:rPr>
                <w:rFonts w:eastAsia="仿宋_GB2312"/>
                <w:kern w:val="0"/>
                <w:sz w:val="24"/>
              </w:rPr>
              <w:t>注射剂</w:t>
            </w:r>
          </w:p>
        </w:tc>
        <w:tc>
          <w:tcPr>
            <w:tcW w:w="2609" w:type="pct"/>
            <w:shd w:val="clear" w:color="auto" w:fill="auto"/>
            <w:vAlign w:val="center"/>
          </w:tcPr>
          <w:p>
            <w:pPr>
              <w:widowControl/>
              <w:spacing w:line="300" w:lineRule="exact"/>
              <w:jc w:val="center"/>
              <w:rPr>
                <w:rFonts w:eastAsia="仿宋_GB2312"/>
                <w:kern w:val="0"/>
                <w:sz w:val="24"/>
              </w:rPr>
            </w:pPr>
            <w:r>
              <w:rPr>
                <w:rFonts w:eastAsia="仿宋_GB2312"/>
                <w:kern w:val="0"/>
                <w:sz w:val="24"/>
              </w:rPr>
              <w:t>儿童急性淋巴细胞白血病患者的一线治疗。</w:t>
            </w:r>
          </w:p>
        </w:tc>
        <w:tc>
          <w:tcPr>
            <w:tcW w:w="724" w:type="pct"/>
          </w:tcPr>
          <w:p>
            <w:pPr>
              <w:widowControl/>
              <w:spacing w:line="300" w:lineRule="exact"/>
              <w:jc w:val="center"/>
              <w:rPr>
                <w:rFonts w:eastAsia="仿宋_GB2312"/>
                <w:kern w:val="0"/>
                <w:sz w:val="24"/>
              </w:rPr>
            </w:pPr>
          </w:p>
        </w:tc>
      </w:tr>
      <w:tr>
        <w:trPr>
          <w:trHeight w:val="510"/>
        </w:trPr>
        <w:tc>
          <w:tcPr>
            <w:tcW w:w="362" w:type="pct"/>
            <w:vAlign w:val="center"/>
          </w:tcPr>
          <w:p>
            <w:pPr>
              <w:widowControl/>
              <w:spacing w:line="300" w:lineRule="exact"/>
              <w:jc w:val="center"/>
              <w:rPr>
                <w:rFonts w:eastAsia="仿宋_GB2312"/>
                <w:kern w:val="0"/>
                <w:sz w:val="24"/>
              </w:rPr>
            </w:pPr>
            <w:r>
              <w:rPr>
                <w:rFonts w:eastAsia="仿宋_GB2312"/>
                <w:kern w:val="0"/>
                <w:sz w:val="24"/>
              </w:rPr>
              <w:t>11</w:t>
            </w:r>
          </w:p>
        </w:tc>
        <w:tc>
          <w:tcPr>
            <w:tcW w:w="725" w:type="pct"/>
            <w:shd w:val="clear" w:color="auto" w:fill="auto"/>
            <w:vAlign w:val="center"/>
          </w:tcPr>
          <w:p>
            <w:pPr>
              <w:widowControl/>
              <w:spacing w:line="300" w:lineRule="exact"/>
              <w:jc w:val="center"/>
              <w:rPr>
                <w:rFonts w:eastAsia="仿宋_GB2312"/>
                <w:kern w:val="0"/>
                <w:sz w:val="24"/>
              </w:rPr>
            </w:pPr>
            <w:r>
              <w:rPr>
                <w:rFonts w:eastAsia="仿宋_GB2312"/>
                <w:kern w:val="0"/>
                <w:sz w:val="24"/>
              </w:rPr>
              <w:t>厄洛替尼</w:t>
            </w:r>
          </w:p>
        </w:tc>
        <w:tc>
          <w:tcPr>
            <w:tcW w:w="580" w:type="pct"/>
            <w:shd w:val="clear" w:color="auto" w:fill="auto"/>
            <w:vAlign w:val="center"/>
          </w:tcPr>
          <w:p>
            <w:pPr>
              <w:widowControl/>
              <w:spacing w:line="300" w:lineRule="exact"/>
              <w:jc w:val="center"/>
              <w:rPr>
                <w:rFonts w:eastAsia="仿宋_GB2312"/>
                <w:kern w:val="0"/>
                <w:sz w:val="24"/>
              </w:rPr>
            </w:pPr>
            <w:r>
              <w:rPr>
                <w:rFonts w:eastAsia="仿宋_GB2312"/>
                <w:kern w:val="0"/>
                <w:sz w:val="24"/>
              </w:rPr>
              <w:t>口服常释剂型</w:t>
            </w:r>
          </w:p>
        </w:tc>
        <w:tc>
          <w:tcPr>
            <w:tcW w:w="2609" w:type="pct"/>
            <w:shd w:val="clear" w:color="auto" w:fill="auto"/>
            <w:vAlign w:val="center"/>
          </w:tcPr>
          <w:p>
            <w:pPr>
              <w:widowControl/>
              <w:spacing w:line="300" w:lineRule="exact"/>
              <w:jc w:val="center"/>
              <w:rPr>
                <w:rFonts w:eastAsia="仿宋_GB2312"/>
                <w:kern w:val="0"/>
                <w:sz w:val="24"/>
              </w:rPr>
            </w:pPr>
            <w:r>
              <w:rPr>
                <w:rFonts w:eastAsia="仿宋_GB2312"/>
                <w:kern w:val="0"/>
                <w:sz w:val="24"/>
              </w:rPr>
              <w:t>限表皮生长因子受体（EGFR）基因敏感突变的晚期非小细胞肺癌患者。</w:t>
            </w:r>
          </w:p>
        </w:tc>
        <w:tc>
          <w:tcPr>
            <w:tcW w:w="724" w:type="pct"/>
          </w:tcPr>
          <w:p>
            <w:pPr>
              <w:widowControl/>
              <w:spacing w:line="300" w:lineRule="exact"/>
              <w:jc w:val="center"/>
              <w:rPr>
                <w:rFonts w:eastAsia="仿宋_GB2312"/>
                <w:kern w:val="0"/>
                <w:sz w:val="24"/>
              </w:rPr>
            </w:pPr>
          </w:p>
        </w:tc>
      </w:tr>
      <w:tr>
        <w:trPr>
          <w:trHeight w:val="1005"/>
        </w:trPr>
        <w:tc>
          <w:tcPr>
            <w:tcW w:w="362" w:type="pct"/>
            <w:vAlign w:val="center"/>
          </w:tcPr>
          <w:p>
            <w:pPr>
              <w:widowControl/>
              <w:spacing w:line="300" w:lineRule="exact"/>
              <w:jc w:val="center"/>
              <w:rPr>
                <w:rFonts w:eastAsia="仿宋_GB2312"/>
                <w:kern w:val="0"/>
                <w:sz w:val="24"/>
              </w:rPr>
            </w:pPr>
            <w:r>
              <w:rPr>
                <w:rFonts w:eastAsia="仿宋_GB2312"/>
                <w:kern w:val="0"/>
                <w:sz w:val="24"/>
              </w:rPr>
              <w:t>12</w:t>
            </w:r>
          </w:p>
        </w:tc>
        <w:tc>
          <w:tcPr>
            <w:tcW w:w="725" w:type="pct"/>
            <w:shd w:val="clear" w:color="auto" w:fill="auto"/>
            <w:vAlign w:val="center"/>
          </w:tcPr>
          <w:p>
            <w:pPr>
              <w:widowControl/>
              <w:spacing w:line="300" w:lineRule="exact"/>
              <w:jc w:val="center"/>
              <w:rPr>
                <w:rFonts w:eastAsia="仿宋_GB2312"/>
                <w:kern w:val="0"/>
                <w:sz w:val="24"/>
              </w:rPr>
            </w:pPr>
            <w:r>
              <w:rPr>
                <w:rFonts w:eastAsia="仿宋_GB2312"/>
                <w:kern w:val="0"/>
                <w:sz w:val="24"/>
              </w:rPr>
              <w:t>阿法替尼</w:t>
            </w:r>
          </w:p>
        </w:tc>
        <w:tc>
          <w:tcPr>
            <w:tcW w:w="580" w:type="pct"/>
            <w:shd w:val="clear" w:color="auto" w:fill="auto"/>
            <w:vAlign w:val="center"/>
          </w:tcPr>
          <w:p>
            <w:pPr>
              <w:widowControl/>
              <w:spacing w:line="300" w:lineRule="exact"/>
              <w:jc w:val="center"/>
              <w:rPr>
                <w:rFonts w:eastAsia="仿宋_GB2312"/>
                <w:kern w:val="0"/>
                <w:sz w:val="24"/>
              </w:rPr>
            </w:pPr>
            <w:r>
              <w:rPr>
                <w:rFonts w:eastAsia="仿宋_GB2312"/>
                <w:kern w:val="0"/>
                <w:sz w:val="24"/>
              </w:rPr>
              <w:t>口服常释剂型</w:t>
            </w:r>
          </w:p>
        </w:tc>
        <w:tc>
          <w:tcPr>
            <w:tcW w:w="2609" w:type="pct"/>
            <w:shd w:val="clear" w:color="auto" w:fill="auto"/>
            <w:vAlign w:val="center"/>
          </w:tcPr>
          <w:p>
            <w:pPr>
              <w:widowControl/>
              <w:spacing w:line="300" w:lineRule="exact"/>
              <w:jc w:val="center"/>
              <w:rPr>
                <w:rFonts w:eastAsia="仿宋_GB2312"/>
                <w:color w:val="000000"/>
                <w:kern w:val="0"/>
                <w:sz w:val="24"/>
              </w:rPr>
            </w:pPr>
            <w:r>
              <w:rPr>
                <w:rFonts w:eastAsia="仿宋_GB2312"/>
                <w:color w:val="000000"/>
                <w:kern w:val="0"/>
                <w:sz w:val="24"/>
              </w:rPr>
              <w:t>1.具有EGFR基因敏感突变的局部晚期或转移性非小细胞肺癌，既往未接受过EGFR-TKI治疗。2.含铂化疗期间或化疗后疾病进展的局部晚期或转移性鳞状组织学类型的非小细胞肺癌。</w:t>
            </w:r>
          </w:p>
        </w:tc>
        <w:tc>
          <w:tcPr>
            <w:tcW w:w="724" w:type="pct"/>
          </w:tcPr>
          <w:p>
            <w:pPr>
              <w:widowControl/>
              <w:spacing w:line="300" w:lineRule="exact"/>
              <w:jc w:val="center"/>
              <w:rPr>
                <w:rFonts w:eastAsia="仿宋_GB2312"/>
                <w:color w:val="000000"/>
                <w:kern w:val="0"/>
                <w:sz w:val="24"/>
              </w:rPr>
            </w:pPr>
          </w:p>
        </w:tc>
      </w:tr>
      <w:tr>
        <w:trPr>
          <w:trHeight w:val="960"/>
        </w:trPr>
        <w:tc>
          <w:tcPr>
            <w:tcW w:w="362" w:type="pct"/>
            <w:vAlign w:val="center"/>
          </w:tcPr>
          <w:p>
            <w:pPr>
              <w:widowControl/>
              <w:spacing w:line="300" w:lineRule="exact"/>
              <w:jc w:val="center"/>
              <w:rPr>
                <w:rFonts w:eastAsia="仿宋_GB2312"/>
                <w:kern w:val="0"/>
                <w:sz w:val="24"/>
              </w:rPr>
            </w:pPr>
            <w:r>
              <w:rPr>
                <w:rFonts w:eastAsia="仿宋_GB2312"/>
                <w:kern w:val="0"/>
                <w:sz w:val="24"/>
              </w:rPr>
              <w:t>13</w:t>
            </w:r>
          </w:p>
        </w:tc>
        <w:tc>
          <w:tcPr>
            <w:tcW w:w="725" w:type="pct"/>
            <w:shd w:val="clear" w:color="auto" w:fill="auto"/>
            <w:vAlign w:val="center"/>
          </w:tcPr>
          <w:p>
            <w:pPr>
              <w:widowControl/>
              <w:spacing w:line="300" w:lineRule="exact"/>
              <w:jc w:val="center"/>
              <w:rPr>
                <w:rFonts w:eastAsia="仿宋_GB2312"/>
                <w:kern w:val="0"/>
                <w:sz w:val="24"/>
              </w:rPr>
            </w:pPr>
            <w:r>
              <w:rPr>
                <w:rFonts w:eastAsia="仿宋_GB2312"/>
                <w:kern w:val="0"/>
                <w:sz w:val="24"/>
              </w:rPr>
              <w:t>奥希替尼</w:t>
            </w:r>
          </w:p>
        </w:tc>
        <w:tc>
          <w:tcPr>
            <w:tcW w:w="580" w:type="pct"/>
            <w:shd w:val="clear" w:color="auto" w:fill="auto"/>
            <w:vAlign w:val="center"/>
          </w:tcPr>
          <w:p>
            <w:pPr>
              <w:widowControl/>
              <w:spacing w:line="300" w:lineRule="exact"/>
              <w:jc w:val="center"/>
              <w:rPr>
                <w:rFonts w:eastAsia="仿宋_GB2312"/>
                <w:kern w:val="0"/>
                <w:sz w:val="24"/>
              </w:rPr>
            </w:pPr>
            <w:r>
              <w:rPr>
                <w:rFonts w:eastAsia="仿宋_GB2312"/>
                <w:kern w:val="0"/>
                <w:sz w:val="24"/>
              </w:rPr>
              <w:t>口服常释剂型</w:t>
            </w:r>
          </w:p>
        </w:tc>
        <w:tc>
          <w:tcPr>
            <w:tcW w:w="2609" w:type="pct"/>
            <w:shd w:val="clear" w:color="auto" w:fill="auto"/>
            <w:vAlign w:val="center"/>
          </w:tcPr>
          <w:p>
            <w:pPr>
              <w:widowControl/>
              <w:spacing w:line="300" w:lineRule="exact"/>
              <w:jc w:val="center"/>
              <w:rPr>
                <w:rFonts w:eastAsia="仿宋_GB2312"/>
                <w:kern w:val="0"/>
                <w:sz w:val="24"/>
              </w:rPr>
            </w:pPr>
            <w:r>
              <w:rPr>
                <w:rFonts w:eastAsia="仿宋_GB2312"/>
                <w:kern w:val="0"/>
                <w:sz w:val="24"/>
              </w:rPr>
              <w:t>限既往因表皮生长因子受体（EGFR）酪氨酸激酶抑制剂（TKI）治疗时或治疗后出现疾病进展，并且经检验确认存在EGFR T790M 突变阳性的局部晚期或转移性非小细胞肺癌成人患者。</w:t>
            </w:r>
          </w:p>
        </w:tc>
        <w:tc>
          <w:tcPr>
            <w:tcW w:w="724" w:type="pct"/>
          </w:tcPr>
          <w:p>
            <w:pPr>
              <w:widowControl/>
              <w:spacing w:line="300" w:lineRule="exact"/>
              <w:jc w:val="center"/>
              <w:rPr>
                <w:rFonts w:eastAsia="仿宋_GB2312"/>
                <w:kern w:val="0"/>
                <w:sz w:val="24"/>
              </w:rPr>
            </w:pPr>
          </w:p>
        </w:tc>
      </w:tr>
      <w:tr>
        <w:trPr>
          <w:trHeight w:val="557"/>
        </w:trPr>
        <w:tc>
          <w:tcPr>
            <w:tcW w:w="362" w:type="pct"/>
            <w:vAlign w:val="center"/>
          </w:tcPr>
          <w:p>
            <w:pPr>
              <w:widowControl/>
              <w:spacing w:line="300" w:lineRule="exact"/>
              <w:jc w:val="center"/>
              <w:rPr>
                <w:rFonts w:eastAsia="仿宋_GB2312"/>
                <w:kern w:val="0"/>
                <w:sz w:val="24"/>
              </w:rPr>
            </w:pPr>
            <w:r>
              <w:rPr>
                <w:rFonts w:eastAsia="仿宋_GB2312"/>
                <w:kern w:val="0"/>
                <w:sz w:val="24"/>
              </w:rPr>
              <w:t>14</w:t>
            </w:r>
          </w:p>
        </w:tc>
        <w:tc>
          <w:tcPr>
            <w:tcW w:w="725" w:type="pct"/>
            <w:shd w:val="clear" w:color="auto" w:fill="auto"/>
            <w:vAlign w:val="center"/>
          </w:tcPr>
          <w:p>
            <w:pPr>
              <w:widowControl/>
              <w:spacing w:line="300" w:lineRule="exact"/>
              <w:jc w:val="center"/>
              <w:rPr>
                <w:rFonts w:eastAsia="仿宋_GB2312"/>
                <w:kern w:val="0"/>
                <w:sz w:val="24"/>
              </w:rPr>
            </w:pPr>
            <w:r>
              <w:rPr>
                <w:rFonts w:eastAsia="仿宋_GB2312"/>
                <w:kern w:val="0"/>
                <w:sz w:val="24"/>
              </w:rPr>
              <w:t>安罗替尼</w:t>
            </w:r>
          </w:p>
        </w:tc>
        <w:tc>
          <w:tcPr>
            <w:tcW w:w="580" w:type="pct"/>
            <w:shd w:val="clear" w:color="auto" w:fill="auto"/>
            <w:vAlign w:val="center"/>
          </w:tcPr>
          <w:p>
            <w:pPr>
              <w:widowControl/>
              <w:spacing w:line="300" w:lineRule="exact"/>
              <w:jc w:val="center"/>
              <w:rPr>
                <w:rFonts w:eastAsia="仿宋_GB2312"/>
                <w:kern w:val="0"/>
                <w:sz w:val="24"/>
              </w:rPr>
            </w:pPr>
            <w:r>
              <w:rPr>
                <w:rFonts w:eastAsia="仿宋_GB2312"/>
                <w:kern w:val="0"/>
                <w:sz w:val="24"/>
              </w:rPr>
              <w:t>口服常释剂型</w:t>
            </w:r>
          </w:p>
        </w:tc>
        <w:tc>
          <w:tcPr>
            <w:tcW w:w="2609" w:type="pct"/>
            <w:shd w:val="clear" w:color="auto" w:fill="auto"/>
            <w:vAlign w:val="center"/>
          </w:tcPr>
          <w:p>
            <w:pPr>
              <w:widowControl/>
              <w:spacing w:line="300" w:lineRule="exact"/>
              <w:jc w:val="center"/>
              <w:rPr>
                <w:rFonts w:eastAsia="仿宋_GB2312"/>
                <w:kern w:val="0"/>
                <w:sz w:val="24"/>
              </w:rPr>
            </w:pPr>
            <w:r>
              <w:rPr>
                <w:rFonts w:eastAsia="仿宋_GB2312"/>
                <w:kern w:val="0"/>
                <w:sz w:val="24"/>
              </w:rPr>
              <w:t>限既往至少接受过2种系统化疗后出现进展或复发的局部晚期或转移性非小细胞肺癌患者。</w:t>
            </w:r>
          </w:p>
        </w:tc>
        <w:tc>
          <w:tcPr>
            <w:tcW w:w="724" w:type="pct"/>
          </w:tcPr>
          <w:p>
            <w:pPr>
              <w:widowControl/>
              <w:spacing w:line="300" w:lineRule="exact"/>
              <w:jc w:val="center"/>
              <w:rPr>
                <w:rFonts w:eastAsia="仿宋_GB2312"/>
                <w:kern w:val="0"/>
                <w:sz w:val="24"/>
              </w:rPr>
            </w:pPr>
          </w:p>
        </w:tc>
      </w:tr>
      <w:tr>
        <w:trPr>
          <w:trHeight w:val="720"/>
        </w:trPr>
        <w:tc>
          <w:tcPr>
            <w:tcW w:w="362" w:type="pct"/>
            <w:vAlign w:val="center"/>
          </w:tcPr>
          <w:p>
            <w:pPr>
              <w:widowControl/>
              <w:spacing w:line="300" w:lineRule="exact"/>
              <w:jc w:val="center"/>
              <w:rPr>
                <w:rFonts w:eastAsia="仿宋_GB2312"/>
                <w:kern w:val="0"/>
                <w:sz w:val="24"/>
              </w:rPr>
            </w:pPr>
            <w:r>
              <w:rPr>
                <w:rFonts w:eastAsia="仿宋_GB2312"/>
                <w:kern w:val="0"/>
                <w:sz w:val="24"/>
              </w:rPr>
              <w:t>15</w:t>
            </w:r>
          </w:p>
        </w:tc>
        <w:tc>
          <w:tcPr>
            <w:tcW w:w="725" w:type="pct"/>
            <w:shd w:val="clear" w:color="auto" w:fill="auto"/>
            <w:vAlign w:val="center"/>
          </w:tcPr>
          <w:p>
            <w:pPr>
              <w:widowControl/>
              <w:spacing w:line="300" w:lineRule="exact"/>
              <w:jc w:val="center"/>
              <w:rPr>
                <w:rFonts w:eastAsia="仿宋_GB2312"/>
                <w:kern w:val="0"/>
                <w:sz w:val="24"/>
              </w:rPr>
            </w:pPr>
            <w:r>
              <w:rPr>
                <w:rFonts w:eastAsia="仿宋_GB2312"/>
                <w:kern w:val="0"/>
                <w:sz w:val="24"/>
              </w:rPr>
              <w:t>克唑替尼</w:t>
            </w:r>
          </w:p>
        </w:tc>
        <w:tc>
          <w:tcPr>
            <w:tcW w:w="580" w:type="pct"/>
            <w:shd w:val="clear" w:color="auto" w:fill="auto"/>
            <w:vAlign w:val="center"/>
          </w:tcPr>
          <w:p>
            <w:pPr>
              <w:widowControl/>
              <w:spacing w:line="300" w:lineRule="exact"/>
              <w:jc w:val="center"/>
              <w:rPr>
                <w:rFonts w:eastAsia="仿宋_GB2312"/>
                <w:kern w:val="0"/>
                <w:sz w:val="24"/>
              </w:rPr>
            </w:pPr>
            <w:r>
              <w:rPr>
                <w:rFonts w:eastAsia="仿宋_GB2312"/>
                <w:kern w:val="0"/>
                <w:sz w:val="24"/>
              </w:rPr>
              <w:t>口服常释剂型</w:t>
            </w:r>
          </w:p>
        </w:tc>
        <w:tc>
          <w:tcPr>
            <w:tcW w:w="2609" w:type="pct"/>
            <w:shd w:val="clear" w:color="auto" w:fill="auto"/>
            <w:vAlign w:val="center"/>
          </w:tcPr>
          <w:p>
            <w:pPr>
              <w:widowControl/>
              <w:spacing w:line="300" w:lineRule="exact"/>
              <w:jc w:val="center"/>
              <w:rPr>
                <w:rFonts w:eastAsia="仿宋_GB2312"/>
                <w:kern w:val="0"/>
                <w:sz w:val="24"/>
              </w:rPr>
            </w:pPr>
            <w:r>
              <w:rPr>
                <w:rFonts w:eastAsia="仿宋_GB2312"/>
                <w:kern w:val="0"/>
                <w:sz w:val="24"/>
              </w:rPr>
              <w:t>限间变性淋巴瘤激酶（ALK）阳性的局部晚期或转移性非小细胞肺癌患者或 ROS1阳性的晚期非小细胞肺癌患者。</w:t>
            </w:r>
          </w:p>
        </w:tc>
        <w:tc>
          <w:tcPr>
            <w:tcW w:w="724" w:type="pct"/>
          </w:tcPr>
          <w:p>
            <w:pPr>
              <w:widowControl/>
              <w:spacing w:line="300" w:lineRule="exact"/>
              <w:jc w:val="center"/>
              <w:rPr>
                <w:rFonts w:eastAsia="仿宋_GB2312"/>
                <w:kern w:val="0"/>
                <w:sz w:val="24"/>
              </w:rPr>
            </w:pPr>
          </w:p>
        </w:tc>
      </w:tr>
      <w:tr>
        <w:trPr>
          <w:trHeight w:val="720"/>
        </w:trPr>
        <w:tc>
          <w:tcPr>
            <w:tcW w:w="362" w:type="pct"/>
            <w:vAlign w:val="center"/>
          </w:tcPr>
          <w:p>
            <w:pPr>
              <w:widowControl/>
              <w:spacing w:line="300" w:lineRule="exact"/>
              <w:jc w:val="center"/>
              <w:rPr>
                <w:rFonts w:eastAsia="仿宋_GB2312"/>
                <w:kern w:val="0"/>
                <w:sz w:val="24"/>
              </w:rPr>
            </w:pPr>
            <w:r>
              <w:rPr>
                <w:rFonts w:eastAsia="仿宋_GB2312"/>
                <w:kern w:val="0"/>
                <w:sz w:val="24"/>
              </w:rPr>
              <w:t>16</w:t>
            </w:r>
          </w:p>
        </w:tc>
        <w:tc>
          <w:tcPr>
            <w:tcW w:w="725" w:type="pct"/>
            <w:shd w:val="clear" w:color="auto" w:fill="auto"/>
            <w:vAlign w:val="center"/>
          </w:tcPr>
          <w:p>
            <w:pPr>
              <w:widowControl/>
              <w:spacing w:line="300" w:lineRule="exact"/>
              <w:jc w:val="center"/>
              <w:rPr>
                <w:rFonts w:eastAsia="仿宋_GB2312"/>
                <w:kern w:val="0"/>
                <w:sz w:val="24"/>
              </w:rPr>
            </w:pPr>
            <w:r>
              <w:rPr>
                <w:rFonts w:eastAsia="仿宋_GB2312"/>
                <w:kern w:val="0"/>
                <w:sz w:val="24"/>
              </w:rPr>
              <w:t>塞瑞替尼</w:t>
            </w:r>
          </w:p>
        </w:tc>
        <w:tc>
          <w:tcPr>
            <w:tcW w:w="580" w:type="pct"/>
            <w:shd w:val="clear" w:color="auto" w:fill="auto"/>
            <w:vAlign w:val="center"/>
          </w:tcPr>
          <w:p>
            <w:pPr>
              <w:widowControl/>
              <w:spacing w:line="300" w:lineRule="exact"/>
              <w:jc w:val="center"/>
              <w:rPr>
                <w:rFonts w:eastAsia="仿宋_GB2312"/>
                <w:kern w:val="0"/>
                <w:sz w:val="24"/>
              </w:rPr>
            </w:pPr>
            <w:r>
              <w:rPr>
                <w:rFonts w:eastAsia="仿宋_GB2312"/>
                <w:kern w:val="0"/>
                <w:sz w:val="24"/>
              </w:rPr>
              <w:t>口服常释剂型</w:t>
            </w:r>
          </w:p>
        </w:tc>
        <w:tc>
          <w:tcPr>
            <w:tcW w:w="2609" w:type="pct"/>
            <w:shd w:val="clear" w:color="auto" w:fill="auto"/>
            <w:vAlign w:val="center"/>
          </w:tcPr>
          <w:p>
            <w:pPr>
              <w:widowControl/>
              <w:spacing w:line="300" w:lineRule="exact"/>
              <w:jc w:val="center"/>
              <w:rPr>
                <w:rFonts w:eastAsia="仿宋_GB2312"/>
                <w:kern w:val="0"/>
                <w:sz w:val="24"/>
              </w:rPr>
            </w:pPr>
            <w:r>
              <w:rPr>
                <w:rFonts w:eastAsia="仿宋_GB2312"/>
                <w:kern w:val="0"/>
                <w:sz w:val="24"/>
              </w:rPr>
              <w:t>接受过克唑替尼治疗后进展的或者对克唑替尼不耐受的间变性淋巴瘤激酶（ALK）阳性局部晚期或转移性非小细胞肺癌患者。</w:t>
            </w:r>
          </w:p>
        </w:tc>
        <w:tc>
          <w:tcPr>
            <w:tcW w:w="724" w:type="pct"/>
          </w:tcPr>
          <w:p>
            <w:pPr>
              <w:widowControl/>
              <w:spacing w:line="300" w:lineRule="exact"/>
              <w:jc w:val="center"/>
              <w:rPr>
                <w:rFonts w:eastAsia="仿宋_GB2312"/>
                <w:kern w:val="0"/>
                <w:sz w:val="24"/>
              </w:rPr>
            </w:pPr>
          </w:p>
        </w:tc>
      </w:tr>
      <w:tr>
        <w:trPr>
          <w:trHeight w:val="510"/>
        </w:trPr>
        <w:tc>
          <w:tcPr>
            <w:tcW w:w="362" w:type="pct"/>
            <w:vAlign w:val="center"/>
          </w:tcPr>
          <w:p>
            <w:pPr>
              <w:widowControl/>
              <w:spacing w:line="300" w:lineRule="exact"/>
              <w:jc w:val="center"/>
              <w:rPr>
                <w:rFonts w:eastAsia="仿宋_GB2312"/>
                <w:kern w:val="0"/>
                <w:sz w:val="24"/>
              </w:rPr>
            </w:pPr>
            <w:r>
              <w:rPr>
                <w:rFonts w:eastAsia="仿宋_GB2312"/>
                <w:kern w:val="0"/>
                <w:sz w:val="24"/>
              </w:rPr>
              <w:t>17</w:t>
            </w:r>
          </w:p>
        </w:tc>
        <w:tc>
          <w:tcPr>
            <w:tcW w:w="725" w:type="pct"/>
            <w:shd w:val="clear" w:color="auto" w:fill="auto"/>
            <w:vAlign w:val="center"/>
          </w:tcPr>
          <w:p>
            <w:pPr>
              <w:widowControl/>
              <w:spacing w:line="300" w:lineRule="exact"/>
              <w:jc w:val="center"/>
              <w:rPr>
                <w:rFonts w:eastAsia="仿宋_GB2312"/>
                <w:kern w:val="0"/>
                <w:sz w:val="24"/>
              </w:rPr>
            </w:pPr>
            <w:r>
              <w:rPr>
                <w:rFonts w:eastAsia="仿宋_GB2312"/>
                <w:kern w:val="0"/>
                <w:sz w:val="24"/>
              </w:rPr>
              <w:t>阿来替尼</w:t>
            </w:r>
          </w:p>
        </w:tc>
        <w:tc>
          <w:tcPr>
            <w:tcW w:w="580" w:type="pct"/>
            <w:shd w:val="clear" w:color="auto" w:fill="auto"/>
            <w:vAlign w:val="center"/>
          </w:tcPr>
          <w:p>
            <w:pPr>
              <w:widowControl/>
              <w:spacing w:line="300" w:lineRule="exact"/>
              <w:jc w:val="center"/>
              <w:rPr>
                <w:rFonts w:eastAsia="仿宋_GB2312"/>
                <w:kern w:val="0"/>
                <w:sz w:val="24"/>
              </w:rPr>
            </w:pPr>
            <w:r>
              <w:rPr>
                <w:rFonts w:eastAsia="仿宋_GB2312"/>
                <w:kern w:val="0"/>
                <w:sz w:val="24"/>
              </w:rPr>
              <w:t>口服常释剂型</w:t>
            </w:r>
          </w:p>
        </w:tc>
        <w:tc>
          <w:tcPr>
            <w:tcW w:w="2609" w:type="pct"/>
            <w:shd w:val="clear" w:color="auto" w:fill="auto"/>
            <w:vAlign w:val="center"/>
          </w:tcPr>
          <w:p>
            <w:pPr>
              <w:widowControl/>
              <w:spacing w:line="300" w:lineRule="exact"/>
              <w:jc w:val="center"/>
              <w:rPr>
                <w:rFonts w:eastAsia="仿宋_GB2312"/>
                <w:kern w:val="0"/>
                <w:sz w:val="24"/>
              </w:rPr>
            </w:pPr>
            <w:r>
              <w:rPr>
                <w:rFonts w:eastAsia="仿宋_GB2312"/>
                <w:kern w:val="0"/>
                <w:sz w:val="24"/>
              </w:rPr>
              <w:t>限间变性淋巴瘤激酶（ALK）阳性的局部晚期或转移性非小细胞肺癌患者。</w:t>
            </w:r>
          </w:p>
        </w:tc>
        <w:tc>
          <w:tcPr>
            <w:tcW w:w="724" w:type="pct"/>
          </w:tcPr>
          <w:p>
            <w:pPr>
              <w:widowControl/>
              <w:spacing w:line="300" w:lineRule="exact"/>
              <w:jc w:val="center"/>
              <w:rPr>
                <w:rFonts w:eastAsia="仿宋_GB2312"/>
                <w:kern w:val="0"/>
                <w:sz w:val="24"/>
              </w:rPr>
            </w:pPr>
          </w:p>
        </w:tc>
      </w:tr>
      <w:tr>
        <w:trPr>
          <w:trHeight w:val="510"/>
        </w:trPr>
        <w:tc>
          <w:tcPr>
            <w:tcW w:w="362" w:type="pct"/>
            <w:vAlign w:val="center"/>
          </w:tcPr>
          <w:p>
            <w:pPr>
              <w:widowControl/>
              <w:spacing w:line="300" w:lineRule="exact"/>
              <w:jc w:val="center"/>
              <w:rPr>
                <w:rFonts w:eastAsia="仿宋_GB2312"/>
                <w:kern w:val="0"/>
                <w:sz w:val="24"/>
              </w:rPr>
            </w:pPr>
            <w:r>
              <w:rPr>
                <w:rFonts w:eastAsia="仿宋_GB2312"/>
                <w:kern w:val="0"/>
                <w:sz w:val="24"/>
              </w:rPr>
              <w:t>18</w:t>
            </w:r>
          </w:p>
        </w:tc>
        <w:tc>
          <w:tcPr>
            <w:tcW w:w="725" w:type="pct"/>
            <w:shd w:val="clear" w:color="auto" w:fill="auto"/>
            <w:vAlign w:val="center"/>
          </w:tcPr>
          <w:p>
            <w:pPr>
              <w:widowControl/>
              <w:spacing w:line="300" w:lineRule="exact"/>
              <w:jc w:val="center"/>
              <w:rPr>
                <w:rFonts w:eastAsia="仿宋_GB2312"/>
                <w:kern w:val="0"/>
                <w:sz w:val="24"/>
              </w:rPr>
            </w:pPr>
            <w:r>
              <w:rPr>
                <w:rFonts w:eastAsia="仿宋_GB2312"/>
                <w:kern w:val="0"/>
                <w:sz w:val="24"/>
              </w:rPr>
              <w:t>培唑帕尼</w:t>
            </w:r>
          </w:p>
        </w:tc>
        <w:tc>
          <w:tcPr>
            <w:tcW w:w="580" w:type="pct"/>
            <w:shd w:val="clear" w:color="auto" w:fill="auto"/>
            <w:vAlign w:val="center"/>
          </w:tcPr>
          <w:p>
            <w:pPr>
              <w:widowControl/>
              <w:spacing w:line="300" w:lineRule="exact"/>
              <w:jc w:val="center"/>
              <w:rPr>
                <w:rFonts w:eastAsia="仿宋_GB2312"/>
                <w:kern w:val="0"/>
                <w:sz w:val="24"/>
              </w:rPr>
            </w:pPr>
            <w:r>
              <w:rPr>
                <w:rFonts w:eastAsia="仿宋_GB2312"/>
                <w:kern w:val="0"/>
                <w:sz w:val="24"/>
              </w:rPr>
              <w:t>口服常释剂型</w:t>
            </w:r>
          </w:p>
        </w:tc>
        <w:tc>
          <w:tcPr>
            <w:tcW w:w="2609" w:type="pct"/>
            <w:shd w:val="clear" w:color="auto" w:fill="auto"/>
            <w:vAlign w:val="center"/>
          </w:tcPr>
          <w:p>
            <w:pPr>
              <w:widowControl/>
              <w:spacing w:line="300" w:lineRule="exact"/>
              <w:jc w:val="center"/>
              <w:rPr>
                <w:rFonts w:eastAsia="仿宋_GB2312"/>
                <w:kern w:val="0"/>
                <w:sz w:val="24"/>
              </w:rPr>
            </w:pPr>
            <w:r>
              <w:rPr>
                <w:rFonts w:eastAsia="仿宋_GB2312"/>
                <w:kern w:val="0"/>
                <w:sz w:val="24"/>
              </w:rPr>
              <w:t>限晚期肾细胞癌患者的一线治疗和曾经接受过细胞因子治疗的晚期肾细胞癌的治疗。</w:t>
            </w:r>
          </w:p>
        </w:tc>
        <w:tc>
          <w:tcPr>
            <w:tcW w:w="724" w:type="pct"/>
          </w:tcPr>
          <w:p>
            <w:pPr>
              <w:widowControl/>
              <w:spacing w:line="300" w:lineRule="exact"/>
              <w:jc w:val="center"/>
              <w:rPr>
                <w:rFonts w:eastAsia="仿宋_GB2312"/>
                <w:kern w:val="0"/>
                <w:sz w:val="24"/>
              </w:rPr>
            </w:pPr>
          </w:p>
        </w:tc>
      </w:tr>
      <w:tr>
        <w:trPr>
          <w:trHeight w:val="569"/>
        </w:trPr>
        <w:tc>
          <w:tcPr>
            <w:tcW w:w="362" w:type="pct"/>
            <w:vAlign w:val="center"/>
          </w:tcPr>
          <w:p>
            <w:pPr>
              <w:widowControl/>
              <w:spacing w:line="300" w:lineRule="exact"/>
              <w:jc w:val="center"/>
              <w:rPr>
                <w:rFonts w:eastAsia="仿宋_GB2312"/>
                <w:kern w:val="0"/>
                <w:sz w:val="24"/>
              </w:rPr>
            </w:pPr>
            <w:r>
              <w:rPr>
                <w:rFonts w:eastAsia="仿宋_GB2312"/>
                <w:kern w:val="0"/>
                <w:sz w:val="24"/>
              </w:rPr>
              <w:t>19</w:t>
            </w:r>
          </w:p>
        </w:tc>
        <w:tc>
          <w:tcPr>
            <w:tcW w:w="725" w:type="pct"/>
            <w:shd w:val="clear" w:color="auto" w:fill="auto"/>
            <w:vAlign w:val="center"/>
          </w:tcPr>
          <w:p>
            <w:pPr>
              <w:widowControl/>
              <w:spacing w:line="300" w:lineRule="exact"/>
              <w:jc w:val="center"/>
              <w:rPr>
                <w:rFonts w:eastAsia="仿宋_GB2312"/>
                <w:kern w:val="0"/>
                <w:sz w:val="24"/>
              </w:rPr>
            </w:pPr>
            <w:r>
              <w:rPr>
                <w:rFonts w:eastAsia="仿宋_GB2312"/>
                <w:kern w:val="0"/>
                <w:sz w:val="24"/>
              </w:rPr>
              <w:t>阿昔替尼</w:t>
            </w:r>
          </w:p>
        </w:tc>
        <w:tc>
          <w:tcPr>
            <w:tcW w:w="580" w:type="pct"/>
            <w:shd w:val="clear" w:color="auto" w:fill="auto"/>
            <w:vAlign w:val="center"/>
          </w:tcPr>
          <w:p>
            <w:pPr>
              <w:widowControl/>
              <w:spacing w:line="300" w:lineRule="exact"/>
              <w:jc w:val="center"/>
              <w:rPr>
                <w:rFonts w:eastAsia="仿宋_GB2312"/>
                <w:kern w:val="0"/>
                <w:sz w:val="24"/>
              </w:rPr>
            </w:pPr>
            <w:r>
              <w:rPr>
                <w:rFonts w:eastAsia="仿宋_GB2312"/>
                <w:kern w:val="0"/>
                <w:sz w:val="24"/>
              </w:rPr>
              <w:t>口服常释剂型</w:t>
            </w:r>
          </w:p>
        </w:tc>
        <w:tc>
          <w:tcPr>
            <w:tcW w:w="2609" w:type="pct"/>
            <w:shd w:val="clear" w:color="auto" w:fill="auto"/>
            <w:vAlign w:val="center"/>
          </w:tcPr>
          <w:p>
            <w:pPr>
              <w:widowControl/>
              <w:spacing w:line="300" w:lineRule="exact"/>
              <w:jc w:val="center"/>
              <w:rPr>
                <w:rFonts w:eastAsia="仿宋_GB2312"/>
                <w:color w:val="000000"/>
                <w:kern w:val="0"/>
                <w:sz w:val="24"/>
              </w:rPr>
            </w:pPr>
            <w:r>
              <w:rPr>
                <w:rFonts w:eastAsia="仿宋_GB2312"/>
                <w:color w:val="000000"/>
                <w:kern w:val="0"/>
                <w:sz w:val="24"/>
              </w:rPr>
              <w:t>限既往接受过一种酪氨酸激酶抑制剂或细胞因子治疗失败的进展期肾细胞癌(RCC)的成人患者。</w:t>
            </w:r>
          </w:p>
        </w:tc>
        <w:tc>
          <w:tcPr>
            <w:tcW w:w="724" w:type="pct"/>
          </w:tcPr>
          <w:p>
            <w:pPr>
              <w:widowControl/>
              <w:spacing w:line="300" w:lineRule="exact"/>
              <w:jc w:val="center"/>
              <w:rPr>
                <w:rFonts w:eastAsia="仿宋_GB2312"/>
                <w:color w:val="000000"/>
                <w:kern w:val="0"/>
                <w:sz w:val="24"/>
              </w:rPr>
            </w:pPr>
          </w:p>
        </w:tc>
      </w:tr>
      <w:tr>
        <w:trPr>
          <w:trHeight w:val="818"/>
        </w:trPr>
        <w:tc>
          <w:tcPr>
            <w:tcW w:w="362" w:type="pct"/>
            <w:vAlign w:val="center"/>
          </w:tcPr>
          <w:p>
            <w:pPr>
              <w:widowControl/>
              <w:spacing w:line="300" w:lineRule="exact"/>
              <w:jc w:val="center"/>
              <w:rPr>
                <w:rFonts w:eastAsia="仿宋_GB2312"/>
                <w:kern w:val="0"/>
                <w:sz w:val="24"/>
              </w:rPr>
            </w:pPr>
            <w:r>
              <w:rPr>
                <w:rFonts w:eastAsia="仿宋_GB2312"/>
                <w:kern w:val="0"/>
                <w:sz w:val="24"/>
              </w:rPr>
              <w:t>20</w:t>
            </w:r>
          </w:p>
        </w:tc>
        <w:tc>
          <w:tcPr>
            <w:tcW w:w="725" w:type="pct"/>
            <w:shd w:val="clear" w:color="auto" w:fill="auto"/>
            <w:vAlign w:val="center"/>
          </w:tcPr>
          <w:p>
            <w:pPr>
              <w:widowControl/>
              <w:spacing w:line="300" w:lineRule="exact"/>
              <w:jc w:val="center"/>
              <w:rPr>
                <w:rFonts w:eastAsia="仿宋_GB2312"/>
                <w:kern w:val="0"/>
                <w:sz w:val="24"/>
              </w:rPr>
            </w:pPr>
            <w:r>
              <w:rPr>
                <w:rFonts w:eastAsia="仿宋_GB2312"/>
                <w:kern w:val="0"/>
                <w:sz w:val="24"/>
              </w:rPr>
              <w:t>索拉非尼</w:t>
            </w:r>
          </w:p>
        </w:tc>
        <w:tc>
          <w:tcPr>
            <w:tcW w:w="580" w:type="pct"/>
            <w:shd w:val="clear" w:color="auto" w:fill="auto"/>
            <w:vAlign w:val="center"/>
          </w:tcPr>
          <w:p>
            <w:pPr>
              <w:widowControl/>
              <w:spacing w:line="300" w:lineRule="exact"/>
              <w:jc w:val="center"/>
              <w:rPr>
                <w:rFonts w:eastAsia="仿宋_GB2312"/>
                <w:kern w:val="0"/>
                <w:sz w:val="24"/>
              </w:rPr>
            </w:pPr>
            <w:r>
              <w:rPr>
                <w:rFonts w:eastAsia="仿宋_GB2312"/>
                <w:kern w:val="0"/>
                <w:sz w:val="24"/>
              </w:rPr>
              <w:t>口服常释剂型</w:t>
            </w:r>
          </w:p>
        </w:tc>
        <w:tc>
          <w:tcPr>
            <w:tcW w:w="2609" w:type="pct"/>
            <w:shd w:val="clear" w:color="auto" w:fill="auto"/>
            <w:vAlign w:val="center"/>
          </w:tcPr>
          <w:p>
            <w:pPr>
              <w:widowControl/>
              <w:spacing w:line="300" w:lineRule="exact"/>
              <w:jc w:val="center"/>
              <w:rPr>
                <w:rFonts w:eastAsia="仿宋_GB2312"/>
                <w:color w:val="000000"/>
                <w:kern w:val="0"/>
                <w:sz w:val="24"/>
              </w:rPr>
            </w:pPr>
            <w:r>
              <w:rPr>
                <w:rFonts w:eastAsia="仿宋_GB2312"/>
                <w:color w:val="000000"/>
                <w:kern w:val="0"/>
                <w:sz w:val="24"/>
              </w:rPr>
              <w:t>限以下情况方可支付：1.不能手术的肾细胞癌。2.不能手术或远处转移的肝细胞癌。3.放射性碘治疗无效的局部复发或转移性、分化型甲状腺癌。</w:t>
            </w:r>
          </w:p>
        </w:tc>
        <w:tc>
          <w:tcPr>
            <w:tcW w:w="724" w:type="pct"/>
          </w:tcPr>
          <w:p>
            <w:pPr>
              <w:widowControl/>
              <w:spacing w:line="300" w:lineRule="exact"/>
              <w:jc w:val="center"/>
              <w:rPr>
                <w:rFonts w:eastAsia="仿宋_GB2312"/>
                <w:color w:val="000000"/>
                <w:kern w:val="0"/>
                <w:sz w:val="24"/>
              </w:rPr>
            </w:pPr>
          </w:p>
        </w:tc>
      </w:tr>
      <w:tr>
        <w:trPr>
          <w:trHeight w:val="510"/>
        </w:trPr>
        <w:tc>
          <w:tcPr>
            <w:tcW w:w="362" w:type="pct"/>
            <w:vAlign w:val="center"/>
          </w:tcPr>
          <w:p>
            <w:pPr>
              <w:widowControl/>
              <w:spacing w:line="300" w:lineRule="exact"/>
              <w:jc w:val="center"/>
              <w:rPr>
                <w:rFonts w:eastAsia="仿宋_GB2312"/>
                <w:kern w:val="0"/>
                <w:sz w:val="24"/>
              </w:rPr>
            </w:pPr>
            <w:r>
              <w:rPr>
                <w:rFonts w:eastAsia="仿宋_GB2312"/>
                <w:kern w:val="0"/>
                <w:sz w:val="24"/>
              </w:rPr>
              <w:t>21</w:t>
            </w:r>
          </w:p>
        </w:tc>
        <w:tc>
          <w:tcPr>
            <w:tcW w:w="725" w:type="pct"/>
            <w:shd w:val="clear" w:color="auto" w:fill="auto"/>
            <w:vAlign w:val="center"/>
          </w:tcPr>
          <w:p>
            <w:pPr>
              <w:widowControl/>
              <w:spacing w:line="300" w:lineRule="exact"/>
              <w:jc w:val="center"/>
              <w:rPr>
                <w:rFonts w:eastAsia="仿宋_GB2312"/>
                <w:kern w:val="0"/>
                <w:sz w:val="24"/>
              </w:rPr>
            </w:pPr>
            <w:r>
              <w:rPr>
                <w:rFonts w:eastAsia="仿宋_GB2312"/>
                <w:kern w:val="0"/>
                <w:sz w:val="24"/>
              </w:rPr>
              <w:t>瑞戈非尼</w:t>
            </w:r>
          </w:p>
        </w:tc>
        <w:tc>
          <w:tcPr>
            <w:tcW w:w="580" w:type="pct"/>
            <w:shd w:val="clear" w:color="auto" w:fill="auto"/>
            <w:vAlign w:val="center"/>
          </w:tcPr>
          <w:p>
            <w:pPr>
              <w:widowControl/>
              <w:spacing w:line="300" w:lineRule="exact"/>
              <w:jc w:val="center"/>
              <w:rPr>
                <w:rFonts w:eastAsia="仿宋_GB2312"/>
                <w:kern w:val="0"/>
                <w:sz w:val="24"/>
              </w:rPr>
            </w:pPr>
            <w:r>
              <w:rPr>
                <w:rFonts w:eastAsia="仿宋_GB2312"/>
                <w:kern w:val="0"/>
                <w:sz w:val="24"/>
              </w:rPr>
              <w:t>口服常释剂型</w:t>
            </w:r>
          </w:p>
        </w:tc>
        <w:tc>
          <w:tcPr>
            <w:tcW w:w="2609" w:type="pct"/>
            <w:shd w:val="clear" w:color="auto" w:fill="auto"/>
            <w:vAlign w:val="center"/>
          </w:tcPr>
          <w:p>
            <w:pPr>
              <w:widowControl/>
              <w:spacing w:line="300" w:lineRule="exact"/>
              <w:jc w:val="center"/>
              <w:rPr>
                <w:rFonts w:eastAsia="仿宋_GB2312"/>
                <w:color w:val="000000"/>
                <w:kern w:val="0"/>
                <w:sz w:val="24"/>
              </w:rPr>
            </w:pPr>
            <w:r>
              <w:rPr>
                <w:rFonts w:eastAsia="仿宋_GB2312"/>
                <w:color w:val="000000"/>
                <w:kern w:val="0"/>
                <w:sz w:val="24"/>
              </w:rPr>
              <w:t>1.肝细胞癌二线治疗；2.转移性结直肠癌三线</w:t>
              <w:br/>
              <w:t>治疗；3.胃肠道间质瘤三线治疗。</w:t>
            </w:r>
          </w:p>
        </w:tc>
        <w:tc>
          <w:tcPr>
            <w:tcW w:w="724" w:type="pct"/>
          </w:tcPr>
          <w:p>
            <w:pPr>
              <w:widowControl/>
              <w:spacing w:line="300" w:lineRule="exact"/>
              <w:jc w:val="center"/>
              <w:rPr>
                <w:rFonts w:eastAsia="仿宋_GB2312"/>
                <w:color w:val="000000"/>
                <w:kern w:val="0"/>
                <w:sz w:val="24"/>
              </w:rPr>
            </w:pPr>
          </w:p>
        </w:tc>
      </w:tr>
      <w:tr>
        <w:trPr>
          <w:trHeight w:val="1020"/>
        </w:trPr>
        <w:tc>
          <w:tcPr>
            <w:tcW w:w="362" w:type="pct"/>
            <w:vAlign w:val="center"/>
          </w:tcPr>
          <w:p>
            <w:pPr>
              <w:widowControl/>
              <w:spacing w:line="300" w:lineRule="exact"/>
              <w:jc w:val="center"/>
              <w:rPr>
                <w:rFonts w:eastAsia="仿宋_GB2312"/>
                <w:kern w:val="0"/>
                <w:sz w:val="24"/>
              </w:rPr>
            </w:pPr>
            <w:r>
              <w:rPr>
                <w:rFonts w:eastAsia="仿宋_GB2312"/>
                <w:kern w:val="0"/>
                <w:sz w:val="24"/>
              </w:rPr>
              <w:t>22</w:t>
            </w:r>
          </w:p>
        </w:tc>
        <w:tc>
          <w:tcPr>
            <w:tcW w:w="725" w:type="pct"/>
            <w:shd w:val="clear" w:color="auto" w:fill="auto"/>
            <w:vAlign w:val="center"/>
          </w:tcPr>
          <w:p>
            <w:pPr>
              <w:widowControl/>
              <w:spacing w:line="300" w:lineRule="exact"/>
              <w:jc w:val="center"/>
              <w:rPr>
                <w:rFonts w:eastAsia="仿宋_GB2312"/>
                <w:kern w:val="0"/>
                <w:sz w:val="24"/>
              </w:rPr>
            </w:pPr>
            <w:r>
              <w:rPr>
                <w:rFonts w:eastAsia="仿宋_GB2312"/>
                <w:kern w:val="0"/>
                <w:sz w:val="24"/>
              </w:rPr>
              <w:t>舒尼替尼</w:t>
            </w:r>
          </w:p>
        </w:tc>
        <w:tc>
          <w:tcPr>
            <w:tcW w:w="580" w:type="pct"/>
            <w:shd w:val="clear" w:color="auto" w:fill="auto"/>
            <w:vAlign w:val="center"/>
          </w:tcPr>
          <w:p>
            <w:pPr>
              <w:widowControl/>
              <w:spacing w:line="300" w:lineRule="exact"/>
              <w:jc w:val="center"/>
              <w:rPr>
                <w:rFonts w:eastAsia="仿宋_GB2312"/>
                <w:kern w:val="0"/>
                <w:sz w:val="24"/>
              </w:rPr>
            </w:pPr>
            <w:r>
              <w:rPr>
                <w:rFonts w:eastAsia="仿宋_GB2312"/>
                <w:kern w:val="0"/>
                <w:sz w:val="24"/>
              </w:rPr>
              <w:t>口服常释剂型</w:t>
            </w:r>
          </w:p>
        </w:tc>
        <w:tc>
          <w:tcPr>
            <w:tcW w:w="2609" w:type="pct"/>
            <w:shd w:val="clear" w:color="auto" w:fill="auto"/>
            <w:vAlign w:val="center"/>
          </w:tcPr>
          <w:p>
            <w:pPr>
              <w:widowControl/>
              <w:spacing w:line="300" w:lineRule="exact"/>
              <w:jc w:val="center"/>
              <w:rPr>
                <w:rFonts w:eastAsia="仿宋_GB2312"/>
                <w:color w:val="000000"/>
                <w:kern w:val="0"/>
                <w:sz w:val="24"/>
              </w:rPr>
            </w:pPr>
            <w:r>
              <w:rPr>
                <w:rFonts w:eastAsia="仿宋_GB2312"/>
                <w:color w:val="000000"/>
                <w:kern w:val="0"/>
                <w:sz w:val="24"/>
              </w:rPr>
              <w:t>1.不能手术的晚期肾细胞癌（RCC)；2.甲磺酸伊马替尼治疗失败或不能耐受的胃肠间质瘤（GIST)；3.不可切除的，转移性高分化进展期胰腺神经内分泌瘤（pNET）成人患者。</w:t>
            </w:r>
          </w:p>
        </w:tc>
        <w:tc>
          <w:tcPr>
            <w:tcW w:w="724" w:type="pct"/>
          </w:tcPr>
          <w:p>
            <w:pPr>
              <w:widowControl/>
              <w:spacing w:line="300" w:lineRule="exact"/>
              <w:jc w:val="center"/>
              <w:rPr>
                <w:rFonts w:eastAsia="仿宋_GB2312"/>
                <w:color w:val="000000"/>
                <w:kern w:val="0"/>
                <w:sz w:val="24"/>
              </w:rPr>
            </w:pPr>
          </w:p>
        </w:tc>
      </w:tr>
      <w:tr>
        <w:trPr>
          <w:trHeight w:val="503"/>
        </w:trPr>
        <w:tc>
          <w:tcPr>
            <w:tcW w:w="362" w:type="pct"/>
            <w:vAlign w:val="center"/>
          </w:tcPr>
          <w:p>
            <w:pPr>
              <w:widowControl/>
              <w:spacing w:line="300" w:lineRule="exact"/>
              <w:jc w:val="center"/>
              <w:rPr>
                <w:rFonts w:eastAsia="仿宋_GB2312"/>
                <w:kern w:val="0"/>
                <w:sz w:val="24"/>
              </w:rPr>
            </w:pPr>
            <w:r>
              <w:rPr>
                <w:rFonts w:eastAsia="仿宋_GB2312"/>
                <w:kern w:val="0"/>
                <w:sz w:val="24"/>
              </w:rPr>
              <w:t>23</w:t>
            </w:r>
          </w:p>
        </w:tc>
        <w:tc>
          <w:tcPr>
            <w:tcW w:w="725" w:type="pct"/>
            <w:shd w:val="clear" w:color="auto" w:fill="auto"/>
            <w:vAlign w:val="center"/>
          </w:tcPr>
          <w:p>
            <w:pPr>
              <w:widowControl/>
              <w:spacing w:line="300" w:lineRule="exact"/>
              <w:jc w:val="center"/>
              <w:rPr>
                <w:rFonts w:eastAsia="仿宋_GB2312"/>
                <w:kern w:val="0"/>
                <w:sz w:val="24"/>
              </w:rPr>
            </w:pPr>
            <w:r>
              <w:rPr>
                <w:rFonts w:eastAsia="仿宋_GB2312"/>
                <w:kern w:val="0"/>
                <w:sz w:val="24"/>
              </w:rPr>
              <w:t>阿帕替尼</w:t>
            </w:r>
          </w:p>
        </w:tc>
        <w:tc>
          <w:tcPr>
            <w:tcW w:w="580" w:type="pct"/>
            <w:shd w:val="clear" w:color="auto" w:fill="auto"/>
            <w:vAlign w:val="center"/>
          </w:tcPr>
          <w:p>
            <w:pPr>
              <w:widowControl/>
              <w:spacing w:line="300" w:lineRule="exact"/>
              <w:jc w:val="center"/>
              <w:rPr>
                <w:rFonts w:eastAsia="仿宋_GB2312"/>
                <w:kern w:val="0"/>
                <w:sz w:val="24"/>
              </w:rPr>
            </w:pPr>
            <w:r>
              <w:rPr>
                <w:rFonts w:eastAsia="仿宋_GB2312"/>
                <w:kern w:val="0"/>
                <w:sz w:val="24"/>
              </w:rPr>
              <w:t>口服常释剂型</w:t>
            </w:r>
          </w:p>
        </w:tc>
        <w:tc>
          <w:tcPr>
            <w:tcW w:w="2609" w:type="pct"/>
            <w:shd w:val="clear" w:color="auto" w:fill="auto"/>
            <w:vAlign w:val="center"/>
          </w:tcPr>
          <w:p>
            <w:pPr>
              <w:widowControl/>
              <w:spacing w:line="300" w:lineRule="exact"/>
              <w:jc w:val="center"/>
              <w:rPr>
                <w:rFonts w:eastAsia="仿宋_GB2312"/>
                <w:kern w:val="0"/>
                <w:sz w:val="24"/>
              </w:rPr>
            </w:pPr>
            <w:r>
              <w:rPr>
                <w:rFonts w:eastAsia="仿宋_GB2312"/>
                <w:kern w:val="0"/>
                <w:sz w:val="24"/>
              </w:rPr>
              <w:t>限既往至少接受过2种系统化疗后进展或复发的晚期胃腺癌或胃-食管结合部腺癌患者。</w:t>
            </w:r>
          </w:p>
        </w:tc>
        <w:tc>
          <w:tcPr>
            <w:tcW w:w="724" w:type="pct"/>
          </w:tcPr>
          <w:p>
            <w:pPr>
              <w:widowControl/>
              <w:spacing w:line="300" w:lineRule="exact"/>
              <w:jc w:val="center"/>
              <w:rPr>
                <w:rFonts w:eastAsia="仿宋_GB2312"/>
                <w:kern w:val="0"/>
                <w:sz w:val="24"/>
              </w:rPr>
            </w:pPr>
          </w:p>
        </w:tc>
      </w:tr>
      <w:tr>
        <w:trPr>
          <w:trHeight w:val="299"/>
        </w:trPr>
        <w:tc>
          <w:tcPr>
            <w:tcW w:w="362" w:type="pct"/>
            <w:vAlign w:val="center"/>
          </w:tcPr>
          <w:p>
            <w:pPr>
              <w:widowControl/>
              <w:spacing w:line="300" w:lineRule="exact"/>
              <w:jc w:val="center"/>
              <w:rPr>
                <w:rFonts w:eastAsia="仿宋_GB2312"/>
                <w:kern w:val="0"/>
                <w:sz w:val="24"/>
              </w:rPr>
            </w:pPr>
            <w:r>
              <w:rPr>
                <w:rFonts w:eastAsia="仿宋_GB2312"/>
                <w:kern w:val="0"/>
                <w:sz w:val="24"/>
              </w:rPr>
              <w:t>24</w:t>
            </w:r>
          </w:p>
        </w:tc>
        <w:tc>
          <w:tcPr>
            <w:tcW w:w="725" w:type="pct"/>
            <w:shd w:val="clear" w:color="auto" w:fill="auto"/>
            <w:vAlign w:val="center"/>
          </w:tcPr>
          <w:p>
            <w:pPr>
              <w:widowControl/>
              <w:spacing w:line="300" w:lineRule="exact"/>
              <w:jc w:val="center"/>
              <w:rPr>
                <w:rFonts w:eastAsia="仿宋_GB2312"/>
                <w:kern w:val="0"/>
                <w:sz w:val="24"/>
              </w:rPr>
            </w:pPr>
            <w:r>
              <w:rPr>
                <w:rFonts w:eastAsia="仿宋_GB2312"/>
                <w:kern w:val="0"/>
                <w:sz w:val="24"/>
              </w:rPr>
              <w:t>呋喹替尼</w:t>
            </w:r>
          </w:p>
        </w:tc>
        <w:tc>
          <w:tcPr>
            <w:tcW w:w="580" w:type="pct"/>
            <w:shd w:val="clear" w:color="auto" w:fill="auto"/>
            <w:vAlign w:val="center"/>
          </w:tcPr>
          <w:p>
            <w:pPr>
              <w:widowControl/>
              <w:spacing w:line="300" w:lineRule="exact"/>
              <w:jc w:val="center"/>
              <w:rPr>
                <w:rFonts w:eastAsia="仿宋_GB2312"/>
                <w:kern w:val="0"/>
                <w:sz w:val="24"/>
              </w:rPr>
            </w:pPr>
            <w:r>
              <w:rPr>
                <w:rFonts w:eastAsia="仿宋_GB2312"/>
                <w:kern w:val="0"/>
                <w:sz w:val="24"/>
              </w:rPr>
              <w:t>口服常释剂型</w:t>
            </w:r>
          </w:p>
        </w:tc>
        <w:tc>
          <w:tcPr>
            <w:tcW w:w="2609" w:type="pct"/>
            <w:shd w:val="clear" w:color="auto" w:fill="auto"/>
            <w:vAlign w:val="center"/>
          </w:tcPr>
          <w:p>
            <w:pPr>
              <w:widowControl/>
              <w:spacing w:line="300" w:lineRule="exact"/>
              <w:jc w:val="center"/>
              <w:rPr>
                <w:rFonts w:eastAsia="仿宋_GB2312"/>
                <w:kern w:val="0"/>
                <w:sz w:val="24"/>
              </w:rPr>
            </w:pPr>
            <w:r>
              <w:rPr>
                <w:rFonts w:eastAsia="仿宋_GB2312"/>
                <w:kern w:val="0"/>
                <w:sz w:val="24"/>
              </w:rPr>
              <w:t>限转移性结直肠癌患者的三线治疗。</w:t>
            </w:r>
          </w:p>
        </w:tc>
        <w:tc>
          <w:tcPr>
            <w:tcW w:w="724" w:type="pct"/>
          </w:tcPr>
          <w:p>
            <w:pPr>
              <w:widowControl/>
              <w:spacing w:line="300" w:lineRule="exact"/>
              <w:jc w:val="center"/>
              <w:rPr>
                <w:rFonts w:eastAsia="仿宋_GB2312"/>
                <w:kern w:val="0"/>
                <w:sz w:val="24"/>
              </w:rPr>
            </w:pPr>
          </w:p>
        </w:tc>
      </w:tr>
      <w:tr>
        <w:trPr>
          <w:trHeight w:val="544"/>
        </w:trPr>
        <w:tc>
          <w:tcPr>
            <w:tcW w:w="362" w:type="pct"/>
            <w:vAlign w:val="center"/>
          </w:tcPr>
          <w:p>
            <w:pPr>
              <w:widowControl/>
              <w:spacing w:line="300" w:lineRule="exact"/>
              <w:jc w:val="center"/>
              <w:rPr>
                <w:rFonts w:eastAsia="仿宋_GB2312"/>
                <w:kern w:val="0"/>
                <w:sz w:val="24"/>
              </w:rPr>
            </w:pPr>
            <w:r>
              <w:rPr>
                <w:rFonts w:eastAsia="仿宋_GB2312"/>
                <w:kern w:val="0"/>
                <w:sz w:val="24"/>
              </w:rPr>
              <w:t>25</w:t>
            </w:r>
          </w:p>
        </w:tc>
        <w:tc>
          <w:tcPr>
            <w:tcW w:w="725" w:type="pct"/>
            <w:shd w:val="clear" w:color="auto" w:fill="auto"/>
            <w:vAlign w:val="center"/>
          </w:tcPr>
          <w:p>
            <w:pPr>
              <w:widowControl/>
              <w:spacing w:line="300" w:lineRule="exact"/>
              <w:jc w:val="center"/>
              <w:rPr>
                <w:rFonts w:eastAsia="仿宋_GB2312"/>
                <w:kern w:val="0"/>
                <w:sz w:val="24"/>
              </w:rPr>
            </w:pPr>
            <w:r>
              <w:rPr>
                <w:rFonts w:eastAsia="仿宋_GB2312"/>
                <w:kern w:val="0"/>
                <w:sz w:val="24"/>
              </w:rPr>
              <w:t>吡咯替尼</w:t>
            </w:r>
          </w:p>
        </w:tc>
        <w:tc>
          <w:tcPr>
            <w:tcW w:w="580" w:type="pct"/>
            <w:shd w:val="clear" w:color="auto" w:fill="auto"/>
            <w:vAlign w:val="center"/>
          </w:tcPr>
          <w:p>
            <w:pPr>
              <w:widowControl/>
              <w:spacing w:line="300" w:lineRule="exact"/>
              <w:jc w:val="center"/>
              <w:rPr>
                <w:rFonts w:eastAsia="仿宋_GB2312"/>
                <w:kern w:val="0"/>
                <w:sz w:val="24"/>
              </w:rPr>
            </w:pPr>
            <w:r>
              <w:rPr>
                <w:rFonts w:eastAsia="仿宋_GB2312"/>
                <w:kern w:val="0"/>
                <w:sz w:val="24"/>
              </w:rPr>
              <w:t>口服常释剂型</w:t>
            </w:r>
          </w:p>
        </w:tc>
        <w:tc>
          <w:tcPr>
            <w:tcW w:w="2609" w:type="pct"/>
            <w:shd w:val="clear" w:color="auto" w:fill="auto"/>
            <w:vAlign w:val="center"/>
          </w:tcPr>
          <w:p>
            <w:pPr>
              <w:widowControl/>
              <w:spacing w:line="300" w:lineRule="exact"/>
              <w:jc w:val="center"/>
              <w:rPr>
                <w:rFonts w:eastAsia="仿宋_GB2312"/>
                <w:kern w:val="0"/>
                <w:sz w:val="24"/>
              </w:rPr>
            </w:pPr>
            <w:r>
              <w:rPr>
                <w:rFonts w:eastAsia="仿宋_GB2312"/>
                <w:kern w:val="0"/>
                <w:sz w:val="24"/>
              </w:rPr>
              <w:t>限表皮生长因子受体2（HER2）阳性的复发或转移性乳腺癌患者的二线治疗。</w:t>
            </w:r>
          </w:p>
        </w:tc>
        <w:tc>
          <w:tcPr>
            <w:tcW w:w="724" w:type="pct"/>
          </w:tcPr>
          <w:p>
            <w:pPr>
              <w:widowControl/>
              <w:spacing w:line="300" w:lineRule="exact"/>
              <w:jc w:val="center"/>
              <w:rPr>
                <w:rFonts w:eastAsia="仿宋_GB2312"/>
                <w:kern w:val="0"/>
                <w:sz w:val="24"/>
              </w:rPr>
            </w:pPr>
          </w:p>
        </w:tc>
      </w:tr>
      <w:tr>
        <w:trPr>
          <w:trHeight w:val="1200"/>
        </w:trPr>
        <w:tc>
          <w:tcPr>
            <w:tcW w:w="362" w:type="pct"/>
            <w:vAlign w:val="center"/>
          </w:tcPr>
          <w:p>
            <w:pPr>
              <w:widowControl/>
              <w:spacing w:line="300" w:lineRule="exact"/>
              <w:jc w:val="center"/>
              <w:rPr>
                <w:rFonts w:eastAsia="仿宋_GB2312"/>
                <w:kern w:val="0"/>
                <w:sz w:val="24"/>
              </w:rPr>
            </w:pPr>
            <w:r>
              <w:rPr>
                <w:rFonts w:eastAsia="仿宋_GB2312"/>
                <w:kern w:val="0"/>
                <w:sz w:val="24"/>
              </w:rPr>
              <w:t>26</w:t>
            </w:r>
          </w:p>
        </w:tc>
        <w:tc>
          <w:tcPr>
            <w:tcW w:w="725" w:type="pct"/>
            <w:shd w:val="clear" w:color="auto" w:fill="auto"/>
            <w:vAlign w:val="center"/>
          </w:tcPr>
          <w:p>
            <w:pPr>
              <w:widowControl/>
              <w:spacing w:line="300" w:lineRule="exact"/>
              <w:jc w:val="center"/>
              <w:rPr>
                <w:rFonts w:eastAsia="仿宋_GB2312"/>
                <w:kern w:val="0"/>
                <w:sz w:val="24"/>
              </w:rPr>
            </w:pPr>
            <w:r>
              <w:rPr>
                <w:rFonts w:eastAsia="仿宋_GB2312"/>
                <w:kern w:val="0"/>
                <w:sz w:val="24"/>
              </w:rPr>
              <w:t>尼洛替尼</w:t>
            </w:r>
          </w:p>
        </w:tc>
        <w:tc>
          <w:tcPr>
            <w:tcW w:w="580" w:type="pct"/>
            <w:shd w:val="clear" w:color="auto" w:fill="auto"/>
            <w:vAlign w:val="center"/>
          </w:tcPr>
          <w:p>
            <w:pPr>
              <w:widowControl/>
              <w:spacing w:line="300" w:lineRule="exact"/>
              <w:jc w:val="center"/>
              <w:rPr>
                <w:rFonts w:eastAsia="仿宋_GB2312"/>
                <w:kern w:val="0"/>
                <w:sz w:val="24"/>
              </w:rPr>
            </w:pPr>
            <w:r>
              <w:rPr>
                <w:rFonts w:eastAsia="仿宋_GB2312"/>
                <w:kern w:val="0"/>
                <w:sz w:val="24"/>
              </w:rPr>
              <w:t>口服常释剂型</w:t>
            </w:r>
          </w:p>
        </w:tc>
        <w:tc>
          <w:tcPr>
            <w:tcW w:w="2609" w:type="pct"/>
            <w:shd w:val="clear" w:color="auto" w:fill="auto"/>
            <w:vAlign w:val="center"/>
          </w:tcPr>
          <w:p>
            <w:pPr>
              <w:widowControl/>
              <w:spacing w:line="300" w:lineRule="exact"/>
              <w:jc w:val="center"/>
              <w:rPr>
                <w:rFonts w:eastAsia="仿宋_GB2312"/>
                <w:kern w:val="0"/>
                <w:sz w:val="24"/>
              </w:rPr>
            </w:pPr>
            <w:r>
              <w:rPr>
                <w:rFonts w:eastAsia="仿宋_GB2312"/>
                <w:kern w:val="0"/>
                <w:sz w:val="24"/>
              </w:rPr>
              <w:t>限治疗新诊断的费城染色体阳性的慢性髓性白血病（Ph+ CML）慢性期成人患者，或对既往治疗（包括伊马替尼）耐药或不耐受的费城染色体阳性的慢性髓性白血病（Ph+ CML）慢性期或加速期成人患者。</w:t>
            </w:r>
          </w:p>
        </w:tc>
        <w:tc>
          <w:tcPr>
            <w:tcW w:w="724" w:type="pct"/>
          </w:tcPr>
          <w:p>
            <w:pPr>
              <w:widowControl/>
              <w:spacing w:line="300" w:lineRule="exact"/>
              <w:jc w:val="center"/>
              <w:rPr>
                <w:rFonts w:eastAsia="仿宋_GB2312"/>
                <w:kern w:val="0"/>
                <w:sz w:val="24"/>
              </w:rPr>
            </w:pPr>
          </w:p>
        </w:tc>
      </w:tr>
      <w:tr>
        <w:trPr>
          <w:trHeight w:val="765"/>
        </w:trPr>
        <w:tc>
          <w:tcPr>
            <w:tcW w:w="362" w:type="pct"/>
            <w:vAlign w:val="center"/>
          </w:tcPr>
          <w:p>
            <w:pPr>
              <w:widowControl/>
              <w:spacing w:line="300" w:lineRule="exact"/>
              <w:jc w:val="center"/>
              <w:rPr>
                <w:rFonts w:eastAsia="仿宋_GB2312"/>
                <w:kern w:val="0"/>
                <w:sz w:val="24"/>
              </w:rPr>
            </w:pPr>
            <w:r>
              <w:rPr>
                <w:rFonts w:eastAsia="仿宋_GB2312"/>
                <w:kern w:val="0"/>
                <w:sz w:val="24"/>
              </w:rPr>
              <w:t>27</w:t>
            </w:r>
          </w:p>
        </w:tc>
        <w:tc>
          <w:tcPr>
            <w:tcW w:w="725" w:type="pct"/>
            <w:shd w:val="clear" w:color="auto" w:fill="auto"/>
            <w:vAlign w:val="center"/>
          </w:tcPr>
          <w:p>
            <w:pPr>
              <w:widowControl/>
              <w:spacing w:line="300" w:lineRule="exact"/>
              <w:jc w:val="center"/>
              <w:rPr>
                <w:rFonts w:eastAsia="仿宋_GB2312"/>
                <w:kern w:val="0"/>
                <w:sz w:val="24"/>
              </w:rPr>
            </w:pPr>
            <w:r>
              <w:rPr>
                <w:rFonts w:eastAsia="仿宋_GB2312"/>
                <w:kern w:val="0"/>
                <w:sz w:val="24"/>
              </w:rPr>
              <w:t>伊布替尼</w:t>
            </w:r>
          </w:p>
        </w:tc>
        <w:tc>
          <w:tcPr>
            <w:tcW w:w="580" w:type="pct"/>
            <w:shd w:val="clear" w:color="auto" w:fill="auto"/>
            <w:vAlign w:val="center"/>
          </w:tcPr>
          <w:p>
            <w:pPr>
              <w:widowControl/>
              <w:spacing w:line="300" w:lineRule="exact"/>
              <w:jc w:val="center"/>
              <w:rPr>
                <w:rFonts w:eastAsia="仿宋_GB2312"/>
                <w:kern w:val="0"/>
                <w:sz w:val="24"/>
              </w:rPr>
            </w:pPr>
            <w:r>
              <w:rPr>
                <w:rFonts w:eastAsia="仿宋_GB2312"/>
                <w:kern w:val="0"/>
                <w:sz w:val="24"/>
              </w:rPr>
              <w:t>口服常释剂型</w:t>
            </w:r>
          </w:p>
        </w:tc>
        <w:tc>
          <w:tcPr>
            <w:tcW w:w="2609" w:type="pct"/>
            <w:shd w:val="clear" w:color="auto" w:fill="auto"/>
            <w:vAlign w:val="center"/>
          </w:tcPr>
          <w:p>
            <w:pPr>
              <w:widowControl/>
              <w:spacing w:line="300" w:lineRule="exact"/>
              <w:jc w:val="center"/>
              <w:rPr>
                <w:rFonts w:eastAsia="仿宋_GB2312"/>
                <w:color w:val="000000"/>
                <w:kern w:val="0"/>
                <w:sz w:val="24"/>
              </w:rPr>
            </w:pPr>
            <w:r>
              <w:rPr>
                <w:rFonts w:eastAsia="仿宋_GB2312"/>
                <w:color w:val="000000"/>
                <w:kern w:val="0"/>
                <w:sz w:val="24"/>
              </w:rPr>
              <w:t>1.既往至少接受过一种治疗的套细胞淋巴瘤</w:t>
              <w:br/>
              <w:t>（MCL）患者的治疗;2.慢性淋巴细胞白血病/小淋巴细胞淋巴瘤（CLL/SLL）患者的治疗。</w:t>
            </w:r>
          </w:p>
        </w:tc>
        <w:tc>
          <w:tcPr>
            <w:tcW w:w="724" w:type="pct"/>
          </w:tcPr>
          <w:p>
            <w:pPr>
              <w:widowControl/>
              <w:spacing w:line="300" w:lineRule="exact"/>
              <w:jc w:val="center"/>
              <w:rPr>
                <w:rFonts w:eastAsia="仿宋_GB2312"/>
                <w:color w:val="000000"/>
                <w:kern w:val="0"/>
                <w:sz w:val="24"/>
              </w:rPr>
            </w:pPr>
          </w:p>
        </w:tc>
      </w:tr>
      <w:tr>
        <w:trPr>
          <w:trHeight w:val="510"/>
        </w:trPr>
        <w:tc>
          <w:tcPr>
            <w:tcW w:w="362" w:type="pct"/>
            <w:vAlign w:val="center"/>
          </w:tcPr>
          <w:p>
            <w:pPr>
              <w:widowControl/>
              <w:spacing w:line="300" w:lineRule="exact"/>
              <w:jc w:val="center"/>
              <w:rPr>
                <w:rFonts w:eastAsia="仿宋_GB2312"/>
                <w:kern w:val="0"/>
                <w:sz w:val="24"/>
              </w:rPr>
            </w:pPr>
            <w:r>
              <w:rPr>
                <w:rFonts w:eastAsia="仿宋_GB2312"/>
                <w:kern w:val="0"/>
                <w:sz w:val="24"/>
              </w:rPr>
              <w:t>28</w:t>
            </w:r>
          </w:p>
        </w:tc>
        <w:tc>
          <w:tcPr>
            <w:tcW w:w="725" w:type="pct"/>
            <w:shd w:val="clear" w:color="auto" w:fill="auto"/>
            <w:vAlign w:val="center"/>
          </w:tcPr>
          <w:p>
            <w:pPr>
              <w:widowControl/>
              <w:spacing w:line="300" w:lineRule="exact"/>
              <w:jc w:val="center"/>
              <w:rPr>
                <w:rFonts w:eastAsia="仿宋_GB2312"/>
                <w:kern w:val="0"/>
                <w:sz w:val="24"/>
              </w:rPr>
            </w:pPr>
            <w:r>
              <w:rPr>
                <w:rFonts w:eastAsia="仿宋_GB2312"/>
                <w:kern w:val="0"/>
                <w:sz w:val="24"/>
              </w:rPr>
              <w:t>维莫非尼</w:t>
            </w:r>
          </w:p>
        </w:tc>
        <w:tc>
          <w:tcPr>
            <w:tcW w:w="580" w:type="pct"/>
            <w:shd w:val="clear" w:color="auto" w:fill="auto"/>
            <w:vAlign w:val="center"/>
          </w:tcPr>
          <w:p>
            <w:pPr>
              <w:widowControl/>
              <w:spacing w:line="300" w:lineRule="exact"/>
              <w:jc w:val="center"/>
              <w:rPr>
                <w:rFonts w:eastAsia="仿宋_GB2312"/>
                <w:kern w:val="0"/>
                <w:sz w:val="24"/>
              </w:rPr>
            </w:pPr>
            <w:r>
              <w:rPr>
                <w:rFonts w:eastAsia="仿宋_GB2312"/>
                <w:kern w:val="0"/>
                <w:sz w:val="24"/>
              </w:rPr>
              <w:t>口服常释剂型</w:t>
            </w:r>
          </w:p>
        </w:tc>
        <w:tc>
          <w:tcPr>
            <w:tcW w:w="2609" w:type="pct"/>
            <w:shd w:val="clear" w:color="auto" w:fill="auto"/>
            <w:vAlign w:val="center"/>
          </w:tcPr>
          <w:p>
            <w:pPr>
              <w:widowControl/>
              <w:spacing w:line="300" w:lineRule="exact"/>
              <w:jc w:val="center"/>
              <w:rPr>
                <w:rFonts w:eastAsia="仿宋_GB2312"/>
                <w:kern w:val="0"/>
                <w:sz w:val="24"/>
              </w:rPr>
            </w:pPr>
            <w:r>
              <w:rPr>
                <w:rFonts w:eastAsia="仿宋_GB2312"/>
                <w:kern w:val="0"/>
                <w:sz w:val="24"/>
              </w:rPr>
              <w:t>治疗经CFDA批准的检测方法确定的BRAF V600突变阳性的不可切除或转移性黑色素瘤。</w:t>
            </w:r>
          </w:p>
        </w:tc>
        <w:tc>
          <w:tcPr>
            <w:tcW w:w="724" w:type="pct"/>
          </w:tcPr>
          <w:p>
            <w:pPr>
              <w:widowControl/>
              <w:spacing w:line="300" w:lineRule="exact"/>
              <w:jc w:val="center"/>
              <w:rPr>
                <w:rFonts w:eastAsia="仿宋_GB2312"/>
                <w:kern w:val="0"/>
                <w:sz w:val="24"/>
              </w:rPr>
            </w:pPr>
          </w:p>
        </w:tc>
      </w:tr>
      <w:tr>
        <w:trPr>
          <w:trHeight w:val="557"/>
        </w:trPr>
        <w:tc>
          <w:tcPr>
            <w:tcW w:w="362" w:type="pct"/>
            <w:vAlign w:val="center"/>
          </w:tcPr>
          <w:p>
            <w:pPr>
              <w:widowControl/>
              <w:spacing w:line="300" w:lineRule="exact"/>
              <w:jc w:val="center"/>
              <w:rPr>
                <w:rFonts w:eastAsia="仿宋_GB2312"/>
                <w:kern w:val="0"/>
                <w:sz w:val="24"/>
              </w:rPr>
            </w:pPr>
            <w:r>
              <w:rPr>
                <w:rFonts w:eastAsia="仿宋_GB2312"/>
                <w:kern w:val="0"/>
                <w:sz w:val="24"/>
              </w:rPr>
              <w:t>29</w:t>
            </w:r>
          </w:p>
        </w:tc>
        <w:tc>
          <w:tcPr>
            <w:tcW w:w="725" w:type="pct"/>
            <w:shd w:val="clear" w:color="auto" w:fill="auto"/>
            <w:vAlign w:val="center"/>
          </w:tcPr>
          <w:p>
            <w:pPr>
              <w:widowControl/>
              <w:spacing w:line="300" w:lineRule="exact"/>
              <w:jc w:val="center"/>
              <w:rPr>
                <w:rFonts w:eastAsia="仿宋_GB2312"/>
                <w:kern w:val="0"/>
                <w:sz w:val="24"/>
              </w:rPr>
            </w:pPr>
            <w:r>
              <w:rPr>
                <w:rFonts w:eastAsia="仿宋_GB2312"/>
                <w:kern w:val="0"/>
                <w:sz w:val="24"/>
              </w:rPr>
              <w:t>伊沙佐米</w:t>
            </w:r>
          </w:p>
        </w:tc>
        <w:tc>
          <w:tcPr>
            <w:tcW w:w="580" w:type="pct"/>
            <w:shd w:val="clear" w:color="auto" w:fill="auto"/>
            <w:vAlign w:val="center"/>
          </w:tcPr>
          <w:p>
            <w:pPr>
              <w:widowControl/>
              <w:spacing w:line="300" w:lineRule="exact"/>
              <w:jc w:val="center"/>
              <w:rPr>
                <w:rFonts w:eastAsia="仿宋_GB2312"/>
                <w:kern w:val="0"/>
                <w:sz w:val="24"/>
              </w:rPr>
            </w:pPr>
            <w:r>
              <w:rPr>
                <w:rFonts w:eastAsia="仿宋_GB2312"/>
                <w:kern w:val="0"/>
                <w:sz w:val="24"/>
              </w:rPr>
              <w:t>口服常释剂型</w:t>
            </w:r>
          </w:p>
        </w:tc>
        <w:tc>
          <w:tcPr>
            <w:tcW w:w="2609" w:type="pct"/>
            <w:shd w:val="clear" w:color="auto" w:fill="auto"/>
            <w:vAlign w:val="center"/>
          </w:tcPr>
          <w:p>
            <w:pPr>
              <w:widowControl/>
              <w:spacing w:line="300" w:lineRule="exact"/>
              <w:jc w:val="center"/>
              <w:rPr>
                <w:rFonts w:eastAsia="仿宋_GB2312"/>
                <w:kern w:val="0"/>
                <w:sz w:val="24"/>
              </w:rPr>
            </w:pPr>
            <w:r>
              <w:rPr>
                <w:rFonts w:eastAsia="仿宋_GB2312"/>
                <w:kern w:val="0"/>
                <w:sz w:val="24"/>
              </w:rPr>
              <w:t>1.每2个疗程需提供治疗有效的证据后方可继续支付；2.由三级医院血液专科或血液专科医院医师处方；3.与来那度胺联合使用时，只支付伊沙佐米或来那度胺中的一种。</w:t>
            </w:r>
          </w:p>
        </w:tc>
        <w:tc>
          <w:tcPr>
            <w:tcW w:w="724" w:type="pct"/>
          </w:tcPr>
          <w:p>
            <w:pPr>
              <w:widowControl/>
              <w:spacing w:line="300" w:lineRule="exact"/>
              <w:jc w:val="center"/>
              <w:rPr>
                <w:rFonts w:eastAsia="仿宋_GB2312"/>
                <w:kern w:val="0"/>
                <w:sz w:val="24"/>
              </w:rPr>
            </w:pPr>
          </w:p>
        </w:tc>
      </w:tr>
      <w:tr>
        <w:trPr>
          <w:trHeight w:val="274"/>
        </w:trPr>
        <w:tc>
          <w:tcPr>
            <w:tcW w:w="362" w:type="pct"/>
            <w:vAlign w:val="center"/>
          </w:tcPr>
          <w:p>
            <w:pPr>
              <w:widowControl/>
              <w:spacing w:line="300" w:lineRule="exact"/>
              <w:jc w:val="center"/>
              <w:rPr>
                <w:rFonts w:eastAsia="仿宋_GB2312"/>
                <w:kern w:val="0"/>
                <w:sz w:val="24"/>
              </w:rPr>
            </w:pPr>
            <w:r>
              <w:rPr>
                <w:rFonts w:eastAsia="仿宋_GB2312"/>
                <w:kern w:val="0"/>
                <w:sz w:val="24"/>
              </w:rPr>
              <w:t>30</w:t>
            </w:r>
          </w:p>
        </w:tc>
        <w:tc>
          <w:tcPr>
            <w:tcW w:w="725" w:type="pct"/>
            <w:shd w:val="clear" w:color="auto" w:fill="auto"/>
            <w:vAlign w:val="center"/>
          </w:tcPr>
          <w:p>
            <w:pPr>
              <w:widowControl/>
              <w:spacing w:line="300" w:lineRule="exact"/>
              <w:jc w:val="center"/>
              <w:rPr>
                <w:rFonts w:eastAsia="仿宋_GB2312"/>
                <w:kern w:val="0"/>
                <w:sz w:val="24"/>
              </w:rPr>
            </w:pPr>
            <w:r>
              <w:rPr>
                <w:rFonts w:eastAsia="仿宋_GB2312"/>
                <w:kern w:val="0"/>
                <w:sz w:val="24"/>
              </w:rPr>
              <w:t>奥拉帕利</w:t>
            </w:r>
          </w:p>
        </w:tc>
        <w:tc>
          <w:tcPr>
            <w:tcW w:w="580" w:type="pct"/>
            <w:shd w:val="clear" w:color="auto" w:fill="auto"/>
            <w:vAlign w:val="center"/>
          </w:tcPr>
          <w:p>
            <w:pPr>
              <w:widowControl/>
              <w:spacing w:line="300" w:lineRule="exact"/>
              <w:jc w:val="center"/>
              <w:rPr>
                <w:rFonts w:eastAsia="仿宋_GB2312"/>
                <w:kern w:val="0"/>
                <w:sz w:val="24"/>
              </w:rPr>
            </w:pPr>
            <w:r>
              <w:rPr>
                <w:rFonts w:eastAsia="仿宋_GB2312"/>
                <w:kern w:val="0"/>
                <w:sz w:val="24"/>
              </w:rPr>
              <w:t>口服常释剂型</w:t>
            </w:r>
          </w:p>
        </w:tc>
        <w:tc>
          <w:tcPr>
            <w:tcW w:w="2609" w:type="pct"/>
            <w:shd w:val="clear" w:color="auto" w:fill="auto"/>
            <w:vAlign w:val="center"/>
          </w:tcPr>
          <w:p>
            <w:pPr>
              <w:widowControl/>
              <w:spacing w:line="300" w:lineRule="exact"/>
              <w:jc w:val="center"/>
              <w:rPr>
                <w:rFonts w:eastAsia="仿宋_GB2312"/>
                <w:kern w:val="0"/>
                <w:sz w:val="24"/>
              </w:rPr>
            </w:pPr>
            <w:r>
              <w:rPr>
                <w:rFonts w:eastAsia="仿宋_GB2312"/>
                <w:kern w:val="0"/>
                <w:sz w:val="24"/>
              </w:rPr>
              <w:t>限铂敏感的复发性上皮性卵巢癌、输卵管癌或原发性腹膜癌患者。</w:t>
            </w:r>
          </w:p>
        </w:tc>
        <w:tc>
          <w:tcPr>
            <w:tcW w:w="724" w:type="pct"/>
          </w:tcPr>
          <w:p>
            <w:pPr>
              <w:widowControl/>
              <w:spacing w:line="300" w:lineRule="exact"/>
              <w:jc w:val="center"/>
              <w:rPr>
                <w:rFonts w:eastAsia="仿宋_GB2312"/>
                <w:kern w:val="0"/>
                <w:sz w:val="24"/>
              </w:rPr>
            </w:pPr>
          </w:p>
        </w:tc>
      </w:tr>
      <w:tr>
        <w:trPr>
          <w:trHeight w:val="426"/>
        </w:trPr>
        <w:tc>
          <w:tcPr>
            <w:tcW w:w="362" w:type="pct"/>
            <w:vAlign w:val="center"/>
          </w:tcPr>
          <w:p>
            <w:pPr>
              <w:widowControl/>
              <w:spacing w:line="300" w:lineRule="exact"/>
              <w:jc w:val="center"/>
              <w:rPr>
                <w:rFonts w:eastAsia="仿宋_GB2312"/>
                <w:kern w:val="0"/>
                <w:sz w:val="24"/>
              </w:rPr>
            </w:pPr>
            <w:r>
              <w:rPr>
                <w:rFonts w:eastAsia="仿宋_GB2312"/>
                <w:kern w:val="0"/>
                <w:sz w:val="24"/>
              </w:rPr>
              <w:t>31</w:t>
            </w:r>
          </w:p>
        </w:tc>
        <w:tc>
          <w:tcPr>
            <w:tcW w:w="725" w:type="pct"/>
            <w:shd w:val="clear" w:color="auto" w:fill="auto"/>
            <w:vAlign w:val="center"/>
          </w:tcPr>
          <w:p>
            <w:pPr>
              <w:widowControl/>
              <w:spacing w:line="300" w:lineRule="exact"/>
              <w:jc w:val="center"/>
              <w:rPr>
                <w:rFonts w:eastAsia="仿宋_GB2312"/>
                <w:kern w:val="0"/>
                <w:sz w:val="24"/>
              </w:rPr>
            </w:pPr>
            <w:r>
              <w:rPr>
                <w:rFonts w:eastAsia="仿宋_GB2312"/>
                <w:kern w:val="0"/>
                <w:sz w:val="24"/>
              </w:rPr>
              <w:t>重组人血管内皮抑制素</w:t>
            </w:r>
          </w:p>
        </w:tc>
        <w:tc>
          <w:tcPr>
            <w:tcW w:w="580" w:type="pct"/>
            <w:shd w:val="clear" w:color="auto" w:fill="auto"/>
            <w:vAlign w:val="center"/>
          </w:tcPr>
          <w:p>
            <w:pPr>
              <w:widowControl/>
              <w:spacing w:line="300" w:lineRule="exact"/>
              <w:jc w:val="center"/>
              <w:rPr>
                <w:rFonts w:eastAsia="仿宋_GB2312"/>
                <w:kern w:val="0"/>
                <w:sz w:val="24"/>
              </w:rPr>
            </w:pPr>
            <w:r>
              <w:rPr>
                <w:rFonts w:eastAsia="仿宋_GB2312"/>
                <w:kern w:val="0"/>
                <w:sz w:val="24"/>
              </w:rPr>
              <w:t>注射剂</w:t>
            </w:r>
          </w:p>
        </w:tc>
        <w:tc>
          <w:tcPr>
            <w:tcW w:w="2609" w:type="pct"/>
            <w:shd w:val="clear" w:color="auto" w:fill="auto"/>
            <w:vAlign w:val="center"/>
          </w:tcPr>
          <w:p>
            <w:pPr>
              <w:widowControl/>
              <w:spacing w:line="300" w:lineRule="exact"/>
              <w:jc w:val="center"/>
              <w:rPr>
                <w:rFonts w:eastAsia="仿宋_GB2312"/>
                <w:kern w:val="0"/>
                <w:sz w:val="24"/>
              </w:rPr>
            </w:pPr>
            <w:r>
              <w:rPr>
                <w:rFonts w:eastAsia="仿宋_GB2312"/>
                <w:kern w:val="0"/>
                <w:sz w:val="24"/>
              </w:rPr>
              <w:t>限晚期非小细胞肺癌患者。</w:t>
            </w:r>
          </w:p>
        </w:tc>
        <w:tc>
          <w:tcPr>
            <w:tcW w:w="724" w:type="pct"/>
          </w:tcPr>
          <w:p>
            <w:pPr>
              <w:widowControl/>
              <w:spacing w:line="300" w:lineRule="exact"/>
              <w:jc w:val="center"/>
              <w:rPr>
                <w:rFonts w:eastAsia="仿宋_GB2312"/>
                <w:kern w:val="0"/>
                <w:sz w:val="24"/>
              </w:rPr>
            </w:pPr>
          </w:p>
        </w:tc>
      </w:tr>
      <w:tr>
        <w:trPr>
          <w:trHeight w:val="510"/>
        </w:trPr>
        <w:tc>
          <w:tcPr>
            <w:tcW w:w="362" w:type="pct"/>
            <w:vAlign w:val="center"/>
          </w:tcPr>
          <w:p>
            <w:pPr>
              <w:widowControl/>
              <w:spacing w:line="300" w:lineRule="exact"/>
              <w:jc w:val="center"/>
              <w:rPr>
                <w:rFonts w:eastAsia="仿宋_GB2312"/>
                <w:kern w:val="0"/>
                <w:sz w:val="24"/>
              </w:rPr>
            </w:pPr>
            <w:r>
              <w:rPr>
                <w:rFonts w:eastAsia="仿宋_GB2312"/>
                <w:kern w:val="0"/>
                <w:sz w:val="24"/>
              </w:rPr>
              <w:t>32</w:t>
            </w:r>
          </w:p>
        </w:tc>
        <w:tc>
          <w:tcPr>
            <w:tcW w:w="725" w:type="pct"/>
            <w:shd w:val="clear" w:color="auto" w:fill="auto"/>
            <w:vAlign w:val="center"/>
          </w:tcPr>
          <w:p>
            <w:pPr>
              <w:widowControl/>
              <w:spacing w:line="300" w:lineRule="exact"/>
              <w:jc w:val="center"/>
              <w:rPr>
                <w:rFonts w:eastAsia="仿宋_GB2312"/>
                <w:kern w:val="0"/>
                <w:sz w:val="24"/>
              </w:rPr>
            </w:pPr>
            <w:r>
              <w:rPr>
                <w:rFonts w:eastAsia="仿宋_GB2312"/>
                <w:kern w:val="0"/>
                <w:sz w:val="24"/>
              </w:rPr>
              <w:t>西达本胺</w:t>
            </w:r>
          </w:p>
        </w:tc>
        <w:tc>
          <w:tcPr>
            <w:tcW w:w="580" w:type="pct"/>
            <w:shd w:val="clear" w:color="auto" w:fill="auto"/>
            <w:vAlign w:val="center"/>
          </w:tcPr>
          <w:p>
            <w:pPr>
              <w:widowControl/>
              <w:spacing w:line="300" w:lineRule="exact"/>
              <w:jc w:val="center"/>
              <w:rPr>
                <w:rFonts w:eastAsia="仿宋_GB2312"/>
                <w:kern w:val="0"/>
                <w:sz w:val="24"/>
              </w:rPr>
            </w:pPr>
            <w:r>
              <w:rPr>
                <w:rFonts w:eastAsia="仿宋_GB2312"/>
                <w:kern w:val="0"/>
                <w:sz w:val="24"/>
              </w:rPr>
              <w:t>口服常释剂型</w:t>
            </w:r>
          </w:p>
        </w:tc>
        <w:tc>
          <w:tcPr>
            <w:tcW w:w="2609" w:type="pct"/>
            <w:tcBorders>
              <w:bottom w:val="single" w:sz="4" w:space="0" w:color="auto"/>
            </w:tcBorders>
            <w:shd w:val="clear" w:color="auto" w:fill="auto"/>
            <w:vAlign w:val="center"/>
          </w:tcPr>
          <w:p>
            <w:pPr>
              <w:widowControl/>
              <w:spacing w:line="300" w:lineRule="exact"/>
              <w:jc w:val="center"/>
              <w:rPr>
                <w:rFonts w:eastAsia="仿宋_GB2312"/>
                <w:kern w:val="0"/>
                <w:sz w:val="24"/>
              </w:rPr>
            </w:pPr>
            <w:r>
              <w:rPr>
                <w:rFonts w:eastAsia="仿宋_GB2312"/>
                <w:kern w:val="0"/>
                <w:sz w:val="24"/>
              </w:rPr>
              <w:t>限既往至少接受过1次全身化疗的复发或难治的外周T细胞淋巴瘤（PTCL）患者。</w:t>
            </w:r>
          </w:p>
        </w:tc>
        <w:tc>
          <w:tcPr>
            <w:tcW w:w="724" w:type="pct"/>
            <w:tcBorders>
              <w:bottom w:val="single" w:sz="4" w:space="0" w:color="auto"/>
            </w:tcBorders>
          </w:tcPr>
          <w:p>
            <w:pPr>
              <w:widowControl/>
              <w:spacing w:line="300" w:lineRule="exact"/>
              <w:jc w:val="center"/>
              <w:rPr>
                <w:rFonts w:eastAsia="仿宋_GB2312"/>
                <w:kern w:val="0"/>
                <w:sz w:val="24"/>
              </w:rPr>
            </w:pPr>
          </w:p>
        </w:tc>
      </w:tr>
      <w:tr>
        <w:trPr>
          <w:trHeight w:val="2490"/>
        </w:trPr>
        <w:tc>
          <w:tcPr>
            <w:tcW w:w="362" w:type="pct"/>
            <w:vAlign w:val="center"/>
          </w:tcPr>
          <w:p>
            <w:pPr>
              <w:widowControl/>
              <w:spacing w:line="300" w:lineRule="exact"/>
              <w:jc w:val="center"/>
              <w:rPr>
                <w:rFonts w:eastAsia="仿宋_GB2312"/>
                <w:kern w:val="0"/>
                <w:sz w:val="24"/>
              </w:rPr>
            </w:pPr>
            <w:r>
              <w:rPr>
                <w:rFonts w:eastAsia="仿宋_GB2312"/>
                <w:kern w:val="0"/>
                <w:sz w:val="24"/>
              </w:rPr>
              <w:t>33</w:t>
            </w:r>
          </w:p>
        </w:tc>
        <w:tc>
          <w:tcPr>
            <w:tcW w:w="725" w:type="pct"/>
            <w:shd w:val="clear" w:color="auto" w:fill="auto"/>
            <w:vAlign w:val="center"/>
          </w:tcPr>
          <w:p>
            <w:pPr>
              <w:widowControl/>
              <w:spacing w:line="300" w:lineRule="exact"/>
              <w:jc w:val="center"/>
              <w:rPr>
                <w:rFonts w:eastAsia="仿宋_GB2312"/>
                <w:kern w:val="0"/>
                <w:sz w:val="24"/>
              </w:rPr>
            </w:pPr>
            <w:r>
              <w:rPr>
                <w:rFonts w:eastAsia="仿宋_GB2312"/>
                <w:kern w:val="0"/>
                <w:sz w:val="24"/>
              </w:rPr>
              <w:t>依维莫司</w:t>
            </w:r>
          </w:p>
        </w:tc>
        <w:tc>
          <w:tcPr>
            <w:tcW w:w="580" w:type="pct"/>
            <w:shd w:val="clear" w:color="auto" w:fill="auto"/>
            <w:vAlign w:val="center"/>
          </w:tcPr>
          <w:p>
            <w:pPr>
              <w:widowControl/>
              <w:spacing w:line="300" w:lineRule="exact"/>
              <w:jc w:val="center"/>
              <w:rPr>
                <w:rFonts w:eastAsia="仿宋_GB2312"/>
                <w:kern w:val="0"/>
                <w:sz w:val="24"/>
              </w:rPr>
            </w:pPr>
            <w:r>
              <w:rPr>
                <w:rFonts w:eastAsia="仿宋_GB2312"/>
                <w:kern w:val="0"/>
                <w:sz w:val="24"/>
              </w:rPr>
              <w:t>口服常释剂型</w:t>
            </w:r>
          </w:p>
        </w:tc>
        <w:tc>
          <w:tcPr>
            <w:tcW w:w="2609" w:type="pct"/>
            <w:shd w:val="clear" w:color="auto" w:fill="auto"/>
            <w:vAlign w:val="center"/>
          </w:tcPr>
          <w:p>
            <w:pPr>
              <w:widowControl/>
              <w:spacing w:line="300" w:lineRule="exact"/>
              <w:jc w:val="center"/>
              <w:rPr>
                <w:rFonts w:eastAsia="仿宋_GB2312"/>
                <w:color w:val="000000"/>
                <w:kern w:val="0"/>
                <w:sz w:val="24"/>
              </w:rPr>
            </w:pPr>
            <w:r>
              <w:rPr>
                <w:rFonts w:eastAsia="仿宋_GB2312"/>
                <w:color w:val="000000"/>
                <w:kern w:val="0"/>
                <w:sz w:val="24"/>
              </w:rPr>
              <w:t>限以下情况方可支付：1.接受舒尼替尼或索拉非尼治疗失败的晚期肾细胞癌成人患者。2.不可切除的、局部晚期或转移性的、分化良好的（中度分化或高度分化）进展期胰腺神经内分泌瘤成人患者。3.无法手术切除的、局部晚期或转移性的、分化良好的、进展期非功能性胃肠道或肺源神经内分泌肿瘤患者。4.不需立即手术治疗的结节性硬化症相关的肾血管平滑肌脂肪瘤（TSC-AML)成人患者。5.不能手术的结节性硬化症相关的室管膜下巨细胞星型细胞瘤的患者。</w:t>
            </w:r>
          </w:p>
        </w:tc>
        <w:tc>
          <w:tcPr>
            <w:tcW w:w="724" w:type="pct"/>
          </w:tcPr>
          <w:p>
            <w:pPr>
              <w:widowControl/>
              <w:spacing w:line="300" w:lineRule="exact"/>
              <w:jc w:val="center"/>
              <w:rPr>
                <w:rFonts w:eastAsia="仿宋_GB2312"/>
                <w:color w:val="000000"/>
                <w:kern w:val="0"/>
                <w:sz w:val="24"/>
              </w:rPr>
            </w:pPr>
          </w:p>
        </w:tc>
      </w:tr>
      <w:tr>
        <w:trPr>
          <w:trHeight w:val="440"/>
        </w:trPr>
        <w:tc>
          <w:tcPr>
            <w:tcW w:w="362" w:type="pct"/>
            <w:tcBorders>
              <w:top w:val="single" w:sz="4" w:space="0" w:color="auto"/>
              <w:left w:val="single" w:sz="4" w:space="0" w:color="auto"/>
              <w:bottom w:val="single" w:sz="4" w:space="0" w:color="auto"/>
              <w:right w:val="single" w:sz="4" w:space="0" w:color="auto"/>
            </w:tcBorders>
            <w:shd w:val="clear" w:color="000000" w:fill="FFFFFF"/>
            <w:vAlign w:val="center"/>
          </w:tcPr>
          <w:p>
            <w:pPr>
              <w:widowControl/>
              <w:spacing w:line="300" w:lineRule="exact"/>
              <w:jc w:val="center"/>
              <w:rPr>
                <w:rFonts w:eastAsia="仿宋_GB2312"/>
                <w:color w:val="000000"/>
                <w:sz w:val="24"/>
              </w:rPr>
            </w:pPr>
            <w:r>
              <w:rPr>
                <w:rFonts w:eastAsia="仿宋_GB2312"/>
                <w:color w:val="000000"/>
                <w:sz w:val="24"/>
              </w:rPr>
              <w:t>34</w:t>
            </w:r>
          </w:p>
        </w:tc>
        <w:tc>
          <w:tcPr>
            <w:tcW w:w="725" w:type="pct"/>
            <w:tcBorders>
              <w:top w:val="single" w:sz="4" w:space="0" w:color="auto"/>
              <w:left w:val="single" w:sz="4" w:space="0" w:color="auto"/>
              <w:bottom w:val="single" w:sz="4" w:space="0" w:color="auto"/>
              <w:right w:val="single" w:sz="4" w:space="0" w:color="auto"/>
            </w:tcBorders>
            <w:shd w:val="clear" w:color="000000" w:fill="FFFFFF"/>
            <w:vAlign w:val="center"/>
          </w:tcPr>
          <w:p>
            <w:pPr>
              <w:widowControl/>
              <w:spacing w:line="300" w:lineRule="exact"/>
              <w:jc w:val="center"/>
              <w:rPr>
                <w:rFonts w:eastAsia="仿宋_GB2312"/>
                <w:color w:val="000000"/>
                <w:sz w:val="24"/>
              </w:rPr>
            </w:pPr>
            <w:r>
              <w:rPr>
                <w:rFonts w:eastAsia="仿宋_GB2312"/>
                <w:color w:val="000000"/>
                <w:sz w:val="24"/>
              </w:rPr>
              <w:t>氟维司群</w:t>
            </w:r>
          </w:p>
        </w:tc>
        <w:tc>
          <w:tcPr>
            <w:tcW w:w="580" w:type="pct"/>
            <w:tcBorders>
              <w:top w:val="single" w:sz="4" w:space="0" w:color="auto"/>
              <w:left w:val="nil"/>
              <w:bottom w:val="single" w:sz="4" w:space="0" w:color="auto"/>
              <w:right w:val="single" w:sz="4" w:space="0" w:color="auto"/>
            </w:tcBorders>
            <w:shd w:val="clear" w:color="000000" w:fill="FFFFFF"/>
            <w:vAlign w:val="center"/>
          </w:tcPr>
          <w:p>
            <w:pPr>
              <w:spacing w:line="300" w:lineRule="exact"/>
              <w:jc w:val="center"/>
              <w:rPr>
                <w:rFonts w:eastAsia="仿宋_GB2312"/>
                <w:color w:val="000000"/>
                <w:sz w:val="24"/>
              </w:rPr>
            </w:pPr>
            <w:r>
              <w:rPr>
                <w:rFonts w:eastAsia="仿宋_GB2312"/>
                <w:color w:val="000000"/>
                <w:sz w:val="24"/>
              </w:rPr>
              <w:t>注射剂</w:t>
            </w:r>
          </w:p>
        </w:tc>
        <w:tc>
          <w:tcPr>
            <w:tcW w:w="2609" w:type="pct"/>
            <w:tcBorders>
              <w:top w:val="single" w:sz="4" w:space="0" w:color="auto"/>
              <w:left w:val="nil"/>
              <w:bottom w:val="single" w:sz="4" w:space="0" w:color="auto"/>
              <w:right w:val="single" w:sz="4" w:space="0" w:color="auto"/>
            </w:tcBorders>
            <w:shd w:val="clear" w:color="000000" w:fill="FFFFFF"/>
            <w:vAlign w:val="center"/>
          </w:tcPr>
          <w:p>
            <w:pPr>
              <w:spacing w:line="300" w:lineRule="exact"/>
              <w:rPr>
                <w:rFonts w:eastAsia="仿宋_GB2312"/>
                <w:color w:val="000000"/>
                <w:sz w:val="24"/>
              </w:rPr>
            </w:pPr>
            <w:r>
              <w:rPr>
                <w:rFonts w:eastAsia="仿宋_GB2312"/>
                <w:color w:val="000000"/>
                <w:sz w:val="24"/>
              </w:rPr>
              <w:t>限芳香化酶抑制剂治疗失败后的晚期、激素受体（ER/PR）阳性乳腺癌治疗。</w:t>
            </w:r>
          </w:p>
        </w:tc>
        <w:tc>
          <w:tcPr>
            <w:tcW w:w="724" w:type="pct"/>
            <w:tcBorders>
              <w:top w:val="single" w:sz="4" w:space="0" w:color="auto"/>
              <w:left w:val="nil"/>
              <w:bottom w:val="single" w:sz="4" w:space="0" w:color="auto"/>
              <w:right w:val="single" w:sz="4" w:space="0" w:color="auto"/>
            </w:tcBorders>
            <w:shd w:val="clear" w:color="000000" w:fill="FFFFFF"/>
          </w:tcPr>
          <w:p>
            <w:pPr>
              <w:spacing w:line="300" w:lineRule="exact"/>
              <w:rPr>
                <w:rFonts w:eastAsia="仿宋_GB2312"/>
                <w:color w:val="000000"/>
                <w:sz w:val="24"/>
              </w:rPr>
            </w:pPr>
            <w:r>
              <w:rPr>
                <w:rFonts w:eastAsia="仿宋_GB2312"/>
                <w:color w:val="000000"/>
                <w:sz w:val="24"/>
              </w:rPr>
              <w:t>协议有效期至2019年12月31日</w:t>
            </w:r>
          </w:p>
        </w:tc>
      </w:tr>
      <w:tr>
        <w:trPr>
          <w:trHeight w:val="440"/>
        </w:trPr>
        <w:tc>
          <w:tcPr>
            <w:tcW w:w="362" w:type="pct"/>
            <w:tcBorders>
              <w:top w:val="single" w:sz="4" w:space="0" w:color="auto"/>
              <w:left w:val="single" w:sz="4" w:space="0" w:color="auto"/>
              <w:bottom w:val="single" w:sz="4" w:space="0" w:color="auto"/>
              <w:right w:val="single" w:sz="4" w:space="0" w:color="auto"/>
            </w:tcBorders>
            <w:shd w:val="clear" w:color="000000" w:fill="FFFFFF"/>
            <w:vAlign w:val="center"/>
          </w:tcPr>
          <w:p>
            <w:pPr>
              <w:widowControl/>
              <w:spacing w:line="300" w:lineRule="exact"/>
              <w:jc w:val="center"/>
              <w:rPr>
                <w:rFonts w:eastAsia="仿宋_GB2312"/>
                <w:color w:val="000000"/>
                <w:sz w:val="24"/>
              </w:rPr>
            </w:pPr>
            <w:r>
              <w:rPr>
                <w:rFonts w:eastAsia="仿宋_GB2312"/>
                <w:color w:val="000000"/>
                <w:sz w:val="24"/>
              </w:rPr>
              <w:t>35</w:t>
            </w:r>
          </w:p>
        </w:tc>
        <w:tc>
          <w:tcPr>
            <w:tcW w:w="725" w:type="pct"/>
            <w:tcBorders>
              <w:top w:val="single" w:sz="4" w:space="0" w:color="auto"/>
              <w:left w:val="single" w:sz="4" w:space="0" w:color="auto"/>
              <w:bottom w:val="single" w:sz="4" w:space="0" w:color="auto"/>
              <w:right w:val="single" w:sz="4" w:space="0" w:color="auto"/>
            </w:tcBorders>
            <w:shd w:val="clear" w:color="000000" w:fill="FFFFFF"/>
            <w:vAlign w:val="center"/>
          </w:tcPr>
          <w:p>
            <w:pPr>
              <w:widowControl/>
              <w:spacing w:line="300" w:lineRule="exact"/>
              <w:jc w:val="center"/>
              <w:rPr>
                <w:rFonts w:eastAsia="仿宋_GB2312"/>
                <w:color w:val="000000"/>
                <w:kern w:val="0"/>
                <w:sz w:val="24"/>
              </w:rPr>
            </w:pPr>
            <w:r>
              <w:rPr>
                <w:rFonts w:eastAsia="仿宋_GB2312"/>
                <w:color w:val="000000"/>
                <w:sz w:val="24"/>
              </w:rPr>
              <w:t>拉帕替尼</w:t>
            </w:r>
          </w:p>
        </w:tc>
        <w:tc>
          <w:tcPr>
            <w:tcW w:w="580" w:type="pct"/>
            <w:tcBorders>
              <w:top w:val="single" w:sz="4" w:space="0" w:color="auto"/>
              <w:left w:val="nil"/>
              <w:bottom w:val="single" w:sz="4" w:space="0" w:color="auto"/>
              <w:right w:val="single" w:sz="4" w:space="0" w:color="auto"/>
            </w:tcBorders>
            <w:shd w:val="clear" w:color="000000" w:fill="FFFFFF"/>
            <w:vAlign w:val="center"/>
          </w:tcPr>
          <w:p>
            <w:pPr>
              <w:spacing w:line="300" w:lineRule="exact"/>
              <w:jc w:val="center"/>
              <w:rPr>
                <w:rFonts w:eastAsia="仿宋_GB2312"/>
                <w:color w:val="000000"/>
                <w:sz w:val="24"/>
              </w:rPr>
            </w:pPr>
            <w:r>
              <w:rPr>
                <w:rFonts w:eastAsia="仿宋_GB2312"/>
                <w:color w:val="000000"/>
                <w:sz w:val="24"/>
              </w:rPr>
              <w:t>口服常释剂型</w:t>
            </w:r>
          </w:p>
        </w:tc>
        <w:tc>
          <w:tcPr>
            <w:tcW w:w="2609" w:type="pct"/>
            <w:tcBorders>
              <w:top w:val="single" w:sz="4" w:space="0" w:color="auto"/>
              <w:left w:val="nil"/>
              <w:bottom w:val="single" w:sz="4" w:space="0" w:color="auto"/>
              <w:right w:val="single" w:sz="4" w:space="0" w:color="auto"/>
            </w:tcBorders>
            <w:shd w:val="clear" w:color="000000" w:fill="FFFFFF"/>
            <w:vAlign w:val="center"/>
          </w:tcPr>
          <w:p>
            <w:pPr>
              <w:spacing w:line="300" w:lineRule="exact"/>
              <w:rPr>
                <w:rFonts w:eastAsia="仿宋_GB2312"/>
                <w:color w:val="000000"/>
                <w:sz w:val="24"/>
              </w:rPr>
            </w:pPr>
            <w:r>
              <w:rPr>
                <w:rFonts w:eastAsia="仿宋_GB2312"/>
                <w:color w:val="000000"/>
                <w:sz w:val="24"/>
              </w:rPr>
              <w:t>限HER2过表达且既往接受过包括蒽环类、紫杉类、曲妥珠单抗治疗的晚期或转移性乳腺癌。</w:t>
            </w:r>
          </w:p>
        </w:tc>
        <w:tc>
          <w:tcPr>
            <w:tcW w:w="724" w:type="pct"/>
            <w:tcBorders>
              <w:top w:val="single" w:sz="4" w:space="0" w:color="auto"/>
              <w:left w:val="nil"/>
              <w:bottom w:val="single" w:sz="4" w:space="0" w:color="auto"/>
              <w:right w:val="single" w:sz="4" w:space="0" w:color="auto"/>
            </w:tcBorders>
            <w:shd w:val="clear" w:color="000000" w:fill="FFFFFF"/>
          </w:tcPr>
          <w:p>
            <w:pPr>
              <w:spacing w:line="300" w:lineRule="exact"/>
              <w:rPr>
                <w:rFonts w:eastAsia="仿宋_GB2312"/>
                <w:color w:val="000000"/>
                <w:sz w:val="24"/>
              </w:rPr>
            </w:pPr>
            <w:r>
              <w:rPr>
                <w:rFonts w:eastAsia="仿宋_GB2312"/>
                <w:color w:val="000000"/>
                <w:sz w:val="24"/>
              </w:rPr>
              <w:t>协议有效期至2019年12月31日</w:t>
            </w:r>
          </w:p>
        </w:tc>
      </w:tr>
      <w:tr>
        <w:trPr>
          <w:trHeight w:val="440"/>
        </w:trPr>
        <w:tc>
          <w:tcPr>
            <w:tcW w:w="362" w:type="pct"/>
            <w:tcBorders>
              <w:top w:val="single" w:sz="4" w:space="0" w:color="auto"/>
              <w:left w:val="single" w:sz="4" w:space="0" w:color="auto"/>
              <w:bottom w:val="single" w:sz="4" w:space="0" w:color="auto"/>
              <w:right w:val="single" w:sz="4" w:space="0" w:color="auto"/>
            </w:tcBorders>
            <w:shd w:val="clear" w:color="000000" w:fill="FFFFFF"/>
            <w:vAlign w:val="center"/>
          </w:tcPr>
          <w:p>
            <w:pPr>
              <w:widowControl/>
              <w:spacing w:line="300" w:lineRule="exact"/>
              <w:jc w:val="center"/>
              <w:rPr>
                <w:rFonts w:eastAsia="仿宋_GB2312"/>
                <w:color w:val="000000"/>
                <w:sz w:val="24"/>
              </w:rPr>
            </w:pPr>
            <w:r>
              <w:rPr>
                <w:rFonts w:eastAsia="仿宋_GB2312"/>
                <w:color w:val="000000"/>
                <w:sz w:val="24"/>
              </w:rPr>
              <w:t>36</w:t>
            </w:r>
          </w:p>
        </w:tc>
        <w:tc>
          <w:tcPr>
            <w:tcW w:w="725" w:type="pct"/>
            <w:tcBorders>
              <w:top w:val="single" w:sz="4" w:space="0" w:color="auto"/>
              <w:left w:val="single" w:sz="4" w:space="0" w:color="auto"/>
              <w:bottom w:val="single" w:sz="4" w:space="0" w:color="auto"/>
              <w:right w:val="single" w:sz="4" w:space="0" w:color="auto"/>
            </w:tcBorders>
            <w:shd w:val="clear" w:color="000000" w:fill="FFFFFF"/>
            <w:vAlign w:val="center"/>
          </w:tcPr>
          <w:p>
            <w:pPr>
              <w:widowControl/>
              <w:spacing w:line="300" w:lineRule="exact"/>
              <w:jc w:val="center"/>
              <w:rPr>
                <w:rFonts w:eastAsia="仿宋_GB2312"/>
                <w:sz w:val="24"/>
              </w:rPr>
            </w:pPr>
            <w:r>
              <w:rPr>
                <w:rFonts w:eastAsia="仿宋_GB2312"/>
                <w:sz w:val="24"/>
              </w:rPr>
              <w:t>伊马替尼</w:t>
            </w:r>
          </w:p>
          <w:p>
            <w:pPr>
              <w:widowControl/>
              <w:spacing w:line="300" w:lineRule="exact"/>
              <w:jc w:val="center"/>
              <w:rPr>
                <w:rFonts w:eastAsia="仿宋_GB2312"/>
                <w:color w:val="000000"/>
                <w:sz w:val="24"/>
              </w:rPr>
            </w:pPr>
          </w:p>
        </w:tc>
        <w:tc>
          <w:tcPr>
            <w:tcW w:w="580" w:type="pct"/>
            <w:tcBorders>
              <w:top w:val="single" w:sz="4" w:space="0" w:color="auto"/>
              <w:left w:val="nil"/>
              <w:bottom w:val="single" w:sz="4" w:space="0" w:color="auto"/>
              <w:right w:val="single" w:sz="4" w:space="0" w:color="auto"/>
            </w:tcBorders>
            <w:shd w:val="clear" w:color="000000" w:fill="FFFFFF"/>
            <w:vAlign w:val="center"/>
          </w:tcPr>
          <w:p>
            <w:pPr>
              <w:widowControl/>
              <w:spacing w:line="300" w:lineRule="exact"/>
              <w:jc w:val="center"/>
              <w:rPr>
                <w:rFonts w:eastAsia="仿宋_GB2312"/>
                <w:sz w:val="24"/>
              </w:rPr>
            </w:pPr>
            <w:r>
              <w:rPr>
                <w:rFonts w:eastAsia="仿宋_GB2312"/>
                <w:sz w:val="24"/>
              </w:rPr>
              <w:t>口服常释剂型</w:t>
            </w:r>
          </w:p>
          <w:p>
            <w:pPr>
              <w:spacing w:line="300" w:lineRule="exact"/>
              <w:jc w:val="center"/>
              <w:rPr>
                <w:rFonts w:eastAsia="仿宋_GB2312"/>
                <w:color w:val="000000"/>
                <w:sz w:val="24"/>
              </w:rPr>
            </w:pPr>
          </w:p>
        </w:tc>
        <w:tc>
          <w:tcPr>
            <w:tcW w:w="2609" w:type="pct"/>
            <w:tcBorders>
              <w:top w:val="single" w:sz="4" w:space="0" w:color="auto"/>
              <w:left w:val="nil"/>
              <w:bottom w:val="single" w:sz="4" w:space="0" w:color="auto"/>
              <w:right w:val="single" w:sz="4" w:space="0" w:color="auto"/>
            </w:tcBorders>
            <w:shd w:val="clear" w:color="000000" w:fill="FFFFFF"/>
            <w:vAlign w:val="center"/>
          </w:tcPr>
          <w:p>
            <w:pPr>
              <w:widowControl/>
              <w:spacing w:line="300" w:lineRule="exact"/>
              <w:rPr>
                <w:rFonts w:eastAsia="仿宋_GB2312"/>
                <w:sz w:val="24"/>
              </w:rPr>
            </w:pPr>
            <w:r>
              <w:rPr>
                <w:rFonts w:eastAsia="仿宋_GB2312"/>
                <w:sz w:val="24"/>
              </w:rPr>
              <w:t>限有慢性髓性白血病诊断并有费城染色体阳性的检验证据的患者；有急性淋巴细胞白血病诊断并有费城染色体阳性的检验证据的儿童患者；难治的或复发的费城染色体阳性的急性淋巴细胞白血病成人患者；胃肠间质瘤患者。</w:t>
            </w:r>
          </w:p>
        </w:tc>
        <w:tc>
          <w:tcPr>
            <w:tcW w:w="724" w:type="pct"/>
            <w:tcBorders>
              <w:top w:val="single" w:sz="4" w:space="0" w:color="auto"/>
              <w:left w:val="nil"/>
              <w:bottom w:val="single" w:sz="4" w:space="0" w:color="auto"/>
              <w:right w:val="single" w:sz="4" w:space="0" w:color="auto"/>
            </w:tcBorders>
            <w:shd w:val="clear" w:color="000000" w:fill="FFFFFF"/>
          </w:tcPr>
          <w:p>
            <w:pPr>
              <w:widowControl/>
              <w:spacing w:line="300" w:lineRule="exact"/>
              <w:rPr>
                <w:rFonts w:eastAsia="仿宋_GB2312"/>
                <w:sz w:val="24"/>
              </w:rPr>
            </w:pPr>
          </w:p>
        </w:tc>
      </w:tr>
      <w:tr>
        <w:trPr>
          <w:trHeight w:val="201"/>
        </w:trPr>
        <w:tc>
          <w:tcPr>
            <w:tcW w:w="362" w:type="pct"/>
            <w:tcBorders>
              <w:top w:val="single" w:sz="4" w:space="0" w:color="auto"/>
              <w:left w:val="single" w:sz="4" w:space="0" w:color="auto"/>
              <w:bottom w:val="single" w:sz="4" w:space="0" w:color="auto"/>
              <w:right w:val="single" w:sz="4" w:space="0" w:color="auto"/>
            </w:tcBorders>
            <w:shd w:val="clear" w:color="000000" w:fill="FFFFFF"/>
            <w:vAlign w:val="center"/>
          </w:tcPr>
          <w:p>
            <w:pPr>
              <w:widowControl/>
              <w:spacing w:line="300" w:lineRule="exact"/>
              <w:jc w:val="center"/>
              <w:rPr>
                <w:rFonts w:eastAsia="仿宋_GB2312"/>
                <w:color w:val="000000"/>
                <w:sz w:val="24"/>
              </w:rPr>
            </w:pPr>
            <w:r>
              <w:rPr>
                <w:rFonts w:eastAsia="仿宋_GB2312"/>
                <w:color w:val="000000"/>
                <w:sz w:val="24"/>
              </w:rPr>
              <w:t>37</w:t>
            </w:r>
          </w:p>
        </w:tc>
        <w:tc>
          <w:tcPr>
            <w:tcW w:w="725" w:type="pct"/>
            <w:tcBorders>
              <w:top w:val="single" w:sz="4" w:space="0" w:color="auto"/>
              <w:left w:val="single" w:sz="4" w:space="0" w:color="auto"/>
              <w:bottom w:val="single" w:sz="4" w:space="0" w:color="auto"/>
              <w:right w:val="single" w:sz="4" w:space="0" w:color="auto"/>
            </w:tcBorders>
            <w:shd w:val="clear" w:color="000000" w:fill="FFFFFF"/>
            <w:vAlign w:val="center"/>
          </w:tcPr>
          <w:p>
            <w:pPr>
              <w:widowControl/>
              <w:spacing w:line="300" w:lineRule="exact"/>
              <w:jc w:val="center"/>
              <w:rPr>
                <w:rFonts w:eastAsia="仿宋_GB2312"/>
                <w:sz w:val="24"/>
              </w:rPr>
            </w:pPr>
            <w:r>
              <w:rPr>
                <w:rFonts w:eastAsia="仿宋_GB2312"/>
                <w:sz w:val="24"/>
              </w:rPr>
              <w:t>吉非替尼</w:t>
            </w:r>
          </w:p>
        </w:tc>
        <w:tc>
          <w:tcPr>
            <w:tcW w:w="580" w:type="pct"/>
            <w:tcBorders>
              <w:top w:val="single" w:sz="4" w:space="0" w:color="auto"/>
              <w:left w:val="nil"/>
              <w:bottom w:val="single" w:sz="4" w:space="0" w:color="auto"/>
              <w:right w:val="single" w:sz="4" w:space="0" w:color="auto"/>
            </w:tcBorders>
            <w:shd w:val="clear" w:color="000000" w:fill="FFFFFF"/>
            <w:vAlign w:val="center"/>
          </w:tcPr>
          <w:p>
            <w:pPr>
              <w:spacing w:line="300" w:lineRule="exact"/>
              <w:jc w:val="center"/>
              <w:rPr>
                <w:rFonts w:eastAsia="仿宋_GB2312"/>
                <w:sz w:val="24"/>
              </w:rPr>
            </w:pPr>
            <w:r>
              <w:rPr>
                <w:rFonts w:eastAsia="仿宋_GB2312"/>
                <w:sz w:val="24"/>
              </w:rPr>
              <w:t>口服常释剂型</w:t>
            </w:r>
          </w:p>
        </w:tc>
        <w:tc>
          <w:tcPr>
            <w:tcW w:w="2609" w:type="pct"/>
            <w:tcBorders>
              <w:top w:val="single" w:sz="4" w:space="0" w:color="auto"/>
              <w:left w:val="nil"/>
              <w:bottom w:val="single" w:sz="4" w:space="0" w:color="auto"/>
              <w:right w:val="single" w:sz="4" w:space="0" w:color="auto"/>
            </w:tcBorders>
            <w:shd w:val="clear" w:color="000000" w:fill="FFFFFF"/>
            <w:vAlign w:val="center"/>
          </w:tcPr>
          <w:p>
            <w:pPr>
              <w:spacing w:line="300" w:lineRule="exact"/>
              <w:rPr>
                <w:rFonts w:eastAsia="仿宋_GB2312"/>
                <w:sz w:val="24"/>
              </w:rPr>
            </w:pPr>
            <w:r>
              <w:rPr>
                <w:rFonts w:eastAsia="仿宋_GB2312"/>
                <w:sz w:val="24"/>
              </w:rPr>
              <w:t>限EGFR基因敏感突变的晚期非小细胞肺癌</w:t>
            </w:r>
          </w:p>
        </w:tc>
        <w:tc>
          <w:tcPr>
            <w:tcW w:w="724" w:type="pct"/>
            <w:tcBorders>
              <w:top w:val="single" w:sz="4" w:space="0" w:color="auto"/>
              <w:left w:val="nil"/>
              <w:bottom w:val="single" w:sz="4" w:space="0" w:color="auto"/>
              <w:right w:val="single" w:sz="4" w:space="0" w:color="auto"/>
            </w:tcBorders>
            <w:shd w:val="clear" w:color="000000" w:fill="FFFFFF"/>
          </w:tcPr>
          <w:p>
            <w:pPr>
              <w:spacing w:line="300" w:lineRule="exact"/>
              <w:rPr>
                <w:rFonts w:eastAsia="仿宋_GB2312"/>
                <w:sz w:val="24"/>
              </w:rPr>
            </w:pPr>
          </w:p>
        </w:tc>
      </w:tr>
      <w:tr>
        <w:trPr>
          <w:trHeight w:val="440"/>
        </w:trPr>
        <w:tc>
          <w:tcPr>
            <w:tcW w:w="362" w:type="pct"/>
            <w:tcBorders>
              <w:top w:val="single" w:sz="4" w:space="0" w:color="auto"/>
              <w:left w:val="single" w:sz="4" w:space="0" w:color="auto"/>
              <w:bottom w:val="single" w:sz="4" w:space="0" w:color="auto"/>
              <w:right w:val="single" w:sz="4" w:space="0" w:color="auto"/>
            </w:tcBorders>
            <w:shd w:val="clear" w:color="000000" w:fill="FFFFFF"/>
            <w:vAlign w:val="center"/>
          </w:tcPr>
          <w:p>
            <w:pPr>
              <w:widowControl/>
              <w:spacing w:line="300" w:lineRule="exact"/>
              <w:jc w:val="center"/>
              <w:rPr>
                <w:rFonts w:eastAsia="仿宋_GB2312"/>
                <w:color w:val="000000"/>
                <w:sz w:val="24"/>
              </w:rPr>
            </w:pPr>
            <w:r>
              <w:rPr>
                <w:rFonts w:eastAsia="仿宋_GB2312"/>
                <w:color w:val="000000"/>
                <w:sz w:val="24"/>
              </w:rPr>
              <w:t>38</w:t>
            </w:r>
          </w:p>
        </w:tc>
        <w:tc>
          <w:tcPr>
            <w:tcW w:w="725" w:type="pct"/>
            <w:tcBorders>
              <w:top w:val="single" w:sz="4" w:space="0" w:color="auto"/>
              <w:left w:val="single" w:sz="4" w:space="0" w:color="auto"/>
              <w:bottom w:val="single" w:sz="4" w:space="0" w:color="auto"/>
              <w:right w:val="single" w:sz="4" w:space="0" w:color="auto"/>
            </w:tcBorders>
            <w:shd w:val="clear" w:color="000000" w:fill="FFFFFF"/>
            <w:vAlign w:val="center"/>
          </w:tcPr>
          <w:p>
            <w:pPr>
              <w:widowControl/>
              <w:spacing w:line="300" w:lineRule="exact"/>
              <w:jc w:val="center"/>
              <w:rPr>
                <w:rFonts w:eastAsia="仿宋_GB2312"/>
                <w:sz w:val="24"/>
              </w:rPr>
            </w:pPr>
            <w:r>
              <w:rPr>
                <w:rFonts w:eastAsia="仿宋_GB2312"/>
                <w:sz w:val="24"/>
              </w:rPr>
              <w:t>阿比特龙</w:t>
            </w:r>
          </w:p>
        </w:tc>
        <w:tc>
          <w:tcPr>
            <w:tcW w:w="580" w:type="pct"/>
            <w:tcBorders>
              <w:top w:val="single" w:sz="4" w:space="0" w:color="auto"/>
              <w:left w:val="nil"/>
              <w:bottom w:val="single" w:sz="4" w:space="0" w:color="auto"/>
              <w:right w:val="single" w:sz="4" w:space="0" w:color="auto"/>
            </w:tcBorders>
            <w:shd w:val="clear" w:color="000000" w:fill="FFFFFF"/>
            <w:vAlign w:val="center"/>
          </w:tcPr>
          <w:p>
            <w:pPr>
              <w:spacing w:line="300" w:lineRule="exact"/>
              <w:jc w:val="center"/>
              <w:rPr>
                <w:rFonts w:eastAsia="仿宋_GB2312"/>
                <w:sz w:val="24"/>
              </w:rPr>
            </w:pPr>
            <w:r>
              <w:rPr>
                <w:rFonts w:eastAsia="仿宋_GB2312"/>
                <w:sz w:val="24"/>
              </w:rPr>
              <w:t>口服常释剂型</w:t>
            </w:r>
          </w:p>
        </w:tc>
        <w:tc>
          <w:tcPr>
            <w:tcW w:w="2609" w:type="pct"/>
            <w:tcBorders>
              <w:top w:val="single" w:sz="4" w:space="0" w:color="auto"/>
              <w:left w:val="nil"/>
              <w:bottom w:val="single" w:sz="4" w:space="0" w:color="auto"/>
              <w:right w:val="single" w:sz="4" w:space="0" w:color="auto"/>
            </w:tcBorders>
            <w:shd w:val="clear" w:color="000000" w:fill="FFFFFF"/>
            <w:vAlign w:val="center"/>
          </w:tcPr>
          <w:p>
            <w:pPr>
              <w:spacing w:line="300" w:lineRule="exact"/>
              <w:rPr>
                <w:rFonts w:eastAsia="仿宋_GB2312"/>
                <w:sz w:val="24"/>
              </w:rPr>
            </w:pPr>
            <w:r>
              <w:rPr>
                <w:rFonts w:eastAsia="仿宋_GB2312"/>
                <w:sz w:val="24"/>
              </w:rPr>
              <w:t>限转移性去势抵抗性前列腺癌、新诊断的高危转移性内分泌治疗敏感性前列腺癌。</w:t>
            </w:r>
          </w:p>
        </w:tc>
        <w:tc>
          <w:tcPr>
            <w:tcW w:w="724" w:type="pct"/>
            <w:tcBorders>
              <w:top w:val="single" w:sz="4" w:space="0" w:color="auto"/>
              <w:left w:val="nil"/>
              <w:bottom w:val="single" w:sz="4" w:space="0" w:color="auto"/>
              <w:right w:val="single" w:sz="4" w:space="0" w:color="auto"/>
            </w:tcBorders>
            <w:shd w:val="clear" w:color="000000" w:fill="FFFFFF"/>
          </w:tcPr>
          <w:p>
            <w:pPr>
              <w:spacing w:line="300" w:lineRule="exact"/>
              <w:rPr>
                <w:rFonts w:eastAsia="仿宋_GB2312"/>
                <w:sz w:val="24"/>
              </w:rPr>
            </w:pPr>
          </w:p>
        </w:tc>
      </w:tr>
      <w:tr>
        <w:trPr>
          <w:trHeight w:val="1088"/>
        </w:trPr>
        <w:tc>
          <w:tcPr>
            <w:tcW w:w="362" w:type="pct"/>
            <w:tcBorders>
              <w:top w:val="single" w:sz="4" w:space="0" w:color="auto"/>
              <w:left w:val="single" w:sz="4" w:space="0" w:color="auto"/>
              <w:bottom w:val="single" w:sz="4" w:space="0" w:color="auto"/>
              <w:right w:val="single" w:sz="4" w:space="0" w:color="auto"/>
            </w:tcBorders>
            <w:shd w:val="clear" w:color="000000" w:fill="FFFFFF"/>
            <w:vAlign w:val="center"/>
          </w:tcPr>
          <w:p>
            <w:pPr>
              <w:widowControl/>
              <w:spacing w:line="300" w:lineRule="exact"/>
              <w:jc w:val="center"/>
              <w:rPr>
                <w:rFonts w:eastAsia="仿宋_GB2312"/>
                <w:color w:val="000000"/>
                <w:sz w:val="24"/>
              </w:rPr>
            </w:pPr>
            <w:r>
              <w:rPr>
                <w:rFonts w:eastAsia="仿宋_GB2312"/>
                <w:color w:val="000000"/>
                <w:sz w:val="24"/>
              </w:rPr>
              <w:t>39</w:t>
            </w:r>
          </w:p>
        </w:tc>
        <w:tc>
          <w:tcPr>
            <w:tcW w:w="725" w:type="pct"/>
            <w:tcBorders>
              <w:top w:val="single" w:sz="4" w:space="0" w:color="auto"/>
              <w:left w:val="single" w:sz="4" w:space="0" w:color="auto"/>
              <w:bottom w:val="single" w:sz="4" w:space="0" w:color="auto"/>
              <w:right w:val="single" w:sz="4" w:space="0" w:color="auto"/>
            </w:tcBorders>
            <w:shd w:val="clear" w:color="000000" w:fill="FFFFFF"/>
            <w:vAlign w:val="center"/>
          </w:tcPr>
          <w:p>
            <w:pPr>
              <w:widowControl/>
              <w:spacing w:line="300" w:lineRule="exact"/>
              <w:jc w:val="center"/>
              <w:rPr>
                <w:rFonts w:eastAsia="仿宋_GB2312"/>
                <w:sz w:val="24"/>
              </w:rPr>
            </w:pPr>
            <w:r>
              <w:rPr>
                <w:rFonts w:eastAsia="仿宋_GB2312"/>
                <w:sz w:val="24"/>
              </w:rPr>
              <w:t>埃克替尼</w:t>
            </w:r>
          </w:p>
        </w:tc>
        <w:tc>
          <w:tcPr>
            <w:tcW w:w="580" w:type="pct"/>
            <w:tcBorders>
              <w:top w:val="single" w:sz="4" w:space="0" w:color="auto"/>
              <w:left w:val="nil"/>
              <w:bottom w:val="single" w:sz="4" w:space="0" w:color="auto"/>
              <w:right w:val="single" w:sz="4" w:space="0" w:color="auto"/>
            </w:tcBorders>
            <w:shd w:val="clear" w:color="000000" w:fill="FFFFFF"/>
            <w:vAlign w:val="center"/>
          </w:tcPr>
          <w:p>
            <w:pPr>
              <w:spacing w:line="300" w:lineRule="exact"/>
              <w:jc w:val="center"/>
              <w:rPr>
                <w:rFonts w:eastAsia="仿宋_GB2312"/>
                <w:sz w:val="24"/>
              </w:rPr>
            </w:pPr>
            <w:r>
              <w:rPr>
                <w:rFonts w:eastAsia="仿宋_GB2312"/>
                <w:sz w:val="24"/>
              </w:rPr>
              <w:t>口服常释剂型</w:t>
            </w:r>
          </w:p>
        </w:tc>
        <w:tc>
          <w:tcPr>
            <w:tcW w:w="2609" w:type="pct"/>
            <w:tcBorders>
              <w:top w:val="single" w:sz="4" w:space="0" w:color="auto"/>
              <w:left w:val="nil"/>
              <w:bottom w:val="single" w:sz="4" w:space="0" w:color="auto"/>
              <w:right w:val="single" w:sz="4" w:space="0" w:color="auto"/>
            </w:tcBorders>
            <w:shd w:val="clear" w:color="000000" w:fill="FFFFFF"/>
            <w:vAlign w:val="center"/>
          </w:tcPr>
          <w:p>
            <w:pPr>
              <w:spacing w:line="300" w:lineRule="exact"/>
              <w:rPr>
                <w:rFonts w:eastAsia="仿宋_GB2312"/>
                <w:sz w:val="24"/>
              </w:rPr>
            </w:pPr>
            <w:r>
              <w:rPr>
                <w:rFonts w:eastAsia="仿宋_GB2312"/>
                <w:sz w:val="24"/>
              </w:rPr>
              <w:t>限EGFR基因敏感突变的晚期非小细胞肺癌</w:t>
            </w:r>
          </w:p>
        </w:tc>
        <w:tc>
          <w:tcPr>
            <w:tcW w:w="724" w:type="pct"/>
            <w:tcBorders>
              <w:top w:val="single" w:sz="4" w:space="0" w:color="auto"/>
              <w:left w:val="nil"/>
              <w:bottom w:val="single" w:sz="4" w:space="0" w:color="auto"/>
              <w:right w:val="single" w:sz="4" w:space="0" w:color="auto"/>
            </w:tcBorders>
            <w:shd w:val="clear" w:color="000000" w:fill="FFFFFF"/>
          </w:tcPr>
          <w:p>
            <w:pPr>
              <w:spacing w:line="300" w:lineRule="exact"/>
              <w:rPr>
                <w:rFonts w:eastAsia="仿宋_GB2312"/>
                <w:sz w:val="24"/>
              </w:rPr>
            </w:pPr>
          </w:p>
        </w:tc>
      </w:tr>
      <w:tr>
        <w:trPr>
          <w:trHeight w:val="440"/>
        </w:trPr>
        <w:tc>
          <w:tcPr>
            <w:tcW w:w="362" w:type="pct"/>
            <w:tcBorders>
              <w:top w:val="single" w:sz="4" w:space="0" w:color="auto"/>
              <w:left w:val="single" w:sz="4" w:space="0" w:color="auto"/>
              <w:bottom w:val="single" w:sz="4" w:space="0" w:color="auto"/>
              <w:right w:val="single" w:sz="4" w:space="0" w:color="auto"/>
            </w:tcBorders>
            <w:shd w:val="clear" w:color="000000" w:fill="FFFFFF"/>
            <w:vAlign w:val="center"/>
          </w:tcPr>
          <w:p>
            <w:pPr>
              <w:widowControl/>
              <w:spacing w:line="300" w:lineRule="exact"/>
              <w:jc w:val="center"/>
              <w:rPr>
                <w:rFonts w:eastAsia="仿宋_GB2312"/>
                <w:color w:val="000000"/>
                <w:sz w:val="24"/>
              </w:rPr>
            </w:pPr>
            <w:r>
              <w:rPr>
                <w:rFonts w:eastAsia="仿宋_GB2312"/>
                <w:color w:val="000000"/>
                <w:sz w:val="24"/>
              </w:rPr>
              <w:t>40</w:t>
            </w:r>
          </w:p>
        </w:tc>
        <w:tc>
          <w:tcPr>
            <w:tcW w:w="725" w:type="pct"/>
            <w:tcBorders>
              <w:top w:val="single" w:sz="4" w:space="0" w:color="auto"/>
              <w:left w:val="single" w:sz="4" w:space="0" w:color="auto"/>
              <w:bottom w:val="single" w:sz="4" w:space="0" w:color="auto"/>
              <w:right w:val="single" w:sz="4" w:space="0" w:color="auto"/>
            </w:tcBorders>
            <w:shd w:val="clear" w:color="000000" w:fill="FFFFFF"/>
            <w:vAlign w:val="center"/>
          </w:tcPr>
          <w:p>
            <w:pPr>
              <w:widowControl/>
              <w:spacing w:line="300" w:lineRule="exact"/>
              <w:jc w:val="center"/>
              <w:rPr>
                <w:rFonts w:eastAsia="仿宋_GB2312"/>
                <w:sz w:val="24"/>
              </w:rPr>
            </w:pPr>
            <w:r>
              <w:rPr>
                <w:rFonts w:eastAsia="仿宋_GB2312"/>
                <w:sz w:val="24"/>
              </w:rPr>
              <w:t>来那度胺</w:t>
            </w:r>
          </w:p>
        </w:tc>
        <w:tc>
          <w:tcPr>
            <w:tcW w:w="580" w:type="pct"/>
            <w:tcBorders>
              <w:top w:val="single" w:sz="4" w:space="0" w:color="auto"/>
              <w:left w:val="nil"/>
              <w:bottom w:val="single" w:sz="4" w:space="0" w:color="auto"/>
              <w:right w:val="single" w:sz="4" w:space="0" w:color="auto"/>
            </w:tcBorders>
            <w:shd w:val="clear" w:color="000000" w:fill="FFFFFF"/>
            <w:vAlign w:val="center"/>
          </w:tcPr>
          <w:p>
            <w:pPr>
              <w:spacing w:line="300" w:lineRule="exact"/>
              <w:jc w:val="center"/>
              <w:rPr>
                <w:rFonts w:eastAsia="仿宋_GB2312"/>
                <w:sz w:val="24"/>
              </w:rPr>
            </w:pPr>
            <w:r>
              <w:rPr>
                <w:rFonts w:eastAsia="仿宋_GB2312"/>
                <w:sz w:val="24"/>
              </w:rPr>
              <w:t>口服常释剂型</w:t>
            </w:r>
          </w:p>
        </w:tc>
        <w:tc>
          <w:tcPr>
            <w:tcW w:w="2609" w:type="pct"/>
            <w:tcBorders>
              <w:top w:val="single" w:sz="4" w:space="0" w:color="auto"/>
              <w:left w:val="nil"/>
              <w:bottom w:val="single" w:sz="4" w:space="0" w:color="auto"/>
              <w:right w:val="single" w:sz="4" w:space="0" w:color="auto"/>
            </w:tcBorders>
            <w:shd w:val="clear" w:color="000000" w:fill="FFFFFF"/>
            <w:vAlign w:val="center"/>
          </w:tcPr>
          <w:p>
            <w:pPr>
              <w:spacing w:line="300" w:lineRule="exact"/>
              <w:rPr>
                <w:rFonts w:eastAsia="仿宋_GB2312"/>
                <w:sz w:val="24"/>
              </w:rPr>
            </w:pPr>
            <w:r>
              <w:rPr>
                <w:rFonts w:eastAsia="仿宋_GB2312"/>
                <w:sz w:val="24"/>
              </w:rPr>
              <w:t>限曾接受过至少一种疗法的多发性骨髓瘤的成年患者，并满足以下条件：1、每2个疗程需提供治疗有效的证据后方可继续支付；2、由三级医院血液专科或血液专科医院医师处方。</w:t>
            </w:r>
          </w:p>
        </w:tc>
        <w:tc>
          <w:tcPr>
            <w:tcW w:w="724" w:type="pct"/>
            <w:tcBorders>
              <w:top w:val="single" w:sz="4" w:space="0" w:color="auto"/>
              <w:left w:val="nil"/>
              <w:bottom w:val="single" w:sz="4" w:space="0" w:color="auto"/>
              <w:right w:val="single" w:sz="4" w:space="0" w:color="auto"/>
            </w:tcBorders>
            <w:shd w:val="clear" w:color="000000" w:fill="FFFFFF"/>
          </w:tcPr>
          <w:p>
            <w:pPr>
              <w:spacing w:line="300" w:lineRule="exact"/>
              <w:rPr>
                <w:rFonts w:eastAsia="仿宋_GB2312"/>
                <w:sz w:val="24"/>
              </w:rPr>
            </w:pPr>
          </w:p>
        </w:tc>
      </w:tr>
      <w:tr>
        <w:trPr>
          <w:trHeight w:val="440"/>
        </w:trPr>
        <w:tc>
          <w:tcPr>
            <w:tcW w:w="362" w:type="pct"/>
            <w:tcBorders>
              <w:top w:val="single" w:sz="4" w:space="0" w:color="auto"/>
              <w:left w:val="single" w:sz="4" w:space="0" w:color="auto"/>
              <w:bottom w:val="single" w:sz="4" w:space="0" w:color="auto"/>
              <w:right w:val="single" w:sz="4" w:space="0" w:color="auto"/>
            </w:tcBorders>
            <w:shd w:val="clear" w:color="000000" w:fill="FFFFFF"/>
            <w:vAlign w:val="center"/>
          </w:tcPr>
          <w:p>
            <w:pPr>
              <w:widowControl/>
              <w:spacing w:line="300" w:lineRule="exact"/>
              <w:jc w:val="center"/>
              <w:rPr>
                <w:rFonts w:eastAsia="仿宋_GB2312"/>
                <w:color w:val="000000"/>
                <w:sz w:val="24"/>
              </w:rPr>
            </w:pPr>
            <w:r>
              <w:rPr>
                <w:rFonts w:eastAsia="仿宋_GB2312"/>
                <w:color w:val="000000"/>
                <w:sz w:val="24"/>
              </w:rPr>
              <w:t>41</w:t>
            </w:r>
          </w:p>
        </w:tc>
        <w:tc>
          <w:tcPr>
            <w:tcW w:w="725" w:type="pct"/>
            <w:tcBorders>
              <w:top w:val="single" w:sz="4" w:space="0" w:color="auto"/>
              <w:left w:val="single" w:sz="4" w:space="0" w:color="auto"/>
              <w:bottom w:val="single" w:sz="4" w:space="0" w:color="auto"/>
              <w:right w:val="single" w:sz="4" w:space="0" w:color="auto"/>
            </w:tcBorders>
            <w:shd w:val="clear" w:color="000000" w:fill="FFFFFF"/>
            <w:vAlign w:val="center"/>
          </w:tcPr>
          <w:p>
            <w:pPr>
              <w:widowControl/>
              <w:spacing w:line="300" w:lineRule="exact"/>
              <w:jc w:val="center"/>
              <w:rPr>
                <w:rFonts w:eastAsia="仿宋_GB2312"/>
                <w:sz w:val="24"/>
              </w:rPr>
            </w:pPr>
            <w:r>
              <w:rPr>
                <w:rFonts w:eastAsia="仿宋_GB2312"/>
                <w:sz w:val="24"/>
              </w:rPr>
              <w:t>利妥昔单抗</w:t>
            </w:r>
          </w:p>
        </w:tc>
        <w:tc>
          <w:tcPr>
            <w:tcW w:w="580" w:type="pct"/>
            <w:tcBorders>
              <w:top w:val="single" w:sz="4" w:space="0" w:color="auto"/>
              <w:left w:val="nil"/>
              <w:bottom w:val="single" w:sz="4" w:space="0" w:color="auto"/>
              <w:right w:val="single" w:sz="4" w:space="0" w:color="auto"/>
            </w:tcBorders>
            <w:shd w:val="clear" w:color="000000" w:fill="FFFFFF"/>
            <w:vAlign w:val="center"/>
          </w:tcPr>
          <w:p>
            <w:pPr>
              <w:spacing w:line="300" w:lineRule="exact"/>
              <w:jc w:val="center"/>
              <w:rPr>
                <w:rFonts w:eastAsia="仿宋_GB2312"/>
                <w:sz w:val="24"/>
              </w:rPr>
            </w:pPr>
            <w:r>
              <w:rPr>
                <w:rFonts w:eastAsia="仿宋_GB2312"/>
                <w:sz w:val="24"/>
              </w:rPr>
              <w:t>注射剂</w:t>
            </w:r>
          </w:p>
        </w:tc>
        <w:tc>
          <w:tcPr>
            <w:tcW w:w="2609" w:type="pct"/>
            <w:tcBorders>
              <w:top w:val="single" w:sz="4" w:space="0" w:color="auto"/>
              <w:left w:val="nil"/>
              <w:bottom w:val="single" w:sz="4" w:space="0" w:color="auto"/>
              <w:right w:val="single" w:sz="4" w:space="0" w:color="auto"/>
            </w:tcBorders>
            <w:shd w:val="clear" w:color="000000" w:fill="FFFFFF"/>
            <w:vAlign w:val="center"/>
          </w:tcPr>
          <w:p>
            <w:pPr>
              <w:spacing w:line="300" w:lineRule="exact"/>
              <w:rPr>
                <w:rFonts w:eastAsia="仿宋_GB2312"/>
                <w:sz w:val="24"/>
              </w:rPr>
            </w:pPr>
            <w:r>
              <w:rPr>
                <w:rFonts w:eastAsia="仿宋_GB2312"/>
                <w:sz w:val="24"/>
              </w:rPr>
              <w:t>限复发或耐药的滤泡性中央型淋巴瘤(国际工作分类B、C和D亚型的B细胞非霍奇金淋巴瘤)，CD20阳性Ⅲ-Ⅳ期滤泡性非霍奇金淋巴瘤，CD20阳性弥漫大B细胞性非霍奇金淋巴瘤；支付不超过8个疗程。</w:t>
            </w:r>
          </w:p>
        </w:tc>
        <w:tc>
          <w:tcPr>
            <w:tcW w:w="724" w:type="pct"/>
            <w:tcBorders>
              <w:top w:val="single" w:sz="4" w:space="0" w:color="auto"/>
              <w:left w:val="nil"/>
              <w:bottom w:val="single" w:sz="4" w:space="0" w:color="auto"/>
              <w:right w:val="single" w:sz="4" w:space="0" w:color="auto"/>
            </w:tcBorders>
            <w:shd w:val="clear" w:color="000000" w:fill="FFFFFF"/>
          </w:tcPr>
          <w:p>
            <w:pPr>
              <w:spacing w:line="300" w:lineRule="exact"/>
              <w:rPr>
                <w:rFonts w:eastAsia="仿宋_GB2312"/>
                <w:sz w:val="24"/>
              </w:rPr>
            </w:pPr>
          </w:p>
        </w:tc>
      </w:tr>
      <w:tr>
        <w:trPr>
          <w:trHeight w:val="440"/>
        </w:trPr>
        <w:tc>
          <w:tcPr>
            <w:tcW w:w="362" w:type="pct"/>
            <w:tcBorders>
              <w:top w:val="single" w:sz="4" w:space="0" w:color="auto"/>
              <w:left w:val="single" w:sz="4" w:space="0" w:color="auto"/>
              <w:bottom w:val="single" w:sz="4" w:space="0" w:color="auto"/>
              <w:right w:val="single" w:sz="4" w:space="0" w:color="auto"/>
            </w:tcBorders>
            <w:shd w:val="clear" w:color="000000" w:fill="FFFFFF"/>
            <w:vAlign w:val="center"/>
          </w:tcPr>
          <w:p>
            <w:pPr>
              <w:widowControl/>
              <w:spacing w:line="300" w:lineRule="exact"/>
              <w:jc w:val="center"/>
              <w:rPr>
                <w:rFonts w:eastAsia="仿宋_GB2312"/>
                <w:color w:val="000000"/>
                <w:sz w:val="24"/>
              </w:rPr>
            </w:pPr>
            <w:r>
              <w:rPr>
                <w:rFonts w:eastAsia="仿宋_GB2312"/>
                <w:color w:val="000000"/>
                <w:sz w:val="24"/>
              </w:rPr>
              <w:t>42</w:t>
            </w:r>
          </w:p>
        </w:tc>
        <w:tc>
          <w:tcPr>
            <w:tcW w:w="725" w:type="pct"/>
            <w:tcBorders>
              <w:top w:val="single" w:sz="4" w:space="0" w:color="auto"/>
              <w:left w:val="single" w:sz="4" w:space="0" w:color="auto"/>
              <w:bottom w:val="single" w:sz="4" w:space="0" w:color="auto"/>
              <w:right w:val="single" w:sz="4" w:space="0" w:color="auto"/>
            </w:tcBorders>
            <w:shd w:val="clear" w:color="000000" w:fill="FFFFFF"/>
            <w:vAlign w:val="center"/>
          </w:tcPr>
          <w:p>
            <w:pPr>
              <w:widowControl/>
              <w:spacing w:line="300" w:lineRule="exact"/>
              <w:jc w:val="center"/>
              <w:rPr>
                <w:rFonts w:eastAsia="仿宋_GB2312"/>
                <w:sz w:val="24"/>
              </w:rPr>
            </w:pPr>
            <w:r>
              <w:rPr>
                <w:rFonts w:eastAsia="仿宋_GB2312"/>
                <w:sz w:val="24"/>
              </w:rPr>
              <w:t>硼替佐米</w:t>
            </w:r>
          </w:p>
        </w:tc>
        <w:tc>
          <w:tcPr>
            <w:tcW w:w="580" w:type="pct"/>
            <w:tcBorders>
              <w:top w:val="single" w:sz="4" w:space="0" w:color="auto"/>
              <w:left w:val="nil"/>
              <w:bottom w:val="single" w:sz="4" w:space="0" w:color="auto"/>
              <w:right w:val="single" w:sz="4" w:space="0" w:color="auto"/>
            </w:tcBorders>
            <w:shd w:val="clear" w:color="000000" w:fill="FFFFFF"/>
            <w:vAlign w:val="center"/>
          </w:tcPr>
          <w:p>
            <w:pPr>
              <w:spacing w:line="300" w:lineRule="exact"/>
              <w:jc w:val="center"/>
              <w:rPr>
                <w:rFonts w:eastAsia="仿宋_GB2312"/>
                <w:sz w:val="24"/>
              </w:rPr>
            </w:pPr>
            <w:r>
              <w:rPr>
                <w:rFonts w:eastAsia="仿宋_GB2312"/>
                <w:sz w:val="24"/>
              </w:rPr>
              <w:t>注射剂</w:t>
            </w:r>
          </w:p>
        </w:tc>
        <w:tc>
          <w:tcPr>
            <w:tcW w:w="2609" w:type="pct"/>
            <w:tcBorders>
              <w:top w:val="single" w:sz="4" w:space="0" w:color="auto"/>
              <w:left w:val="nil"/>
              <w:bottom w:val="single" w:sz="4" w:space="0" w:color="auto"/>
              <w:right w:val="single" w:sz="4" w:space="0" w:color="auto"/>
            </w:tcBorders>
            <w:shd w:val="clear" w:color="000000" w:fill="FFFFFF"/>
            <w:vAlign w:val="center"/>
          </w:tcPr>
          <w:p>
            <w:pPr>
              <w:spacing w:line="300" w:lineRule="exact"/>
              <w:rPr>
                <w:rFonts w:eastAsia="仿宋_GB2312"/>
                <w:sz w:val="24"/>
              </w:rPr>
            </w:pPr>
            <w:r>
              <w:rPr>
                <w:rFonts w:eastAsia="仿宋_GB2312"/>
                <w:sz w:val="24"/>
              </w:rPr>
              <w:t>限多发性骨髓瘤、复发或难治性套细胞淋巴瘤患者，并满足以下条件：1、每2个疗程需提供治疗有效的证据后方可继续支付；2、由三级医院血液专科或血液专科医院医师处方。</w:t>
            </w:r>
          </w:p>
        </w:tc>
        <w:tc>
          <w:tcPr>
            <w:tcW w:w="724" w:type="pct"/>
            <w:tcBorders>
              <w:top w:val="single" w:sz="4" w:space="0" w:color="auto"/>
              <w:left w:val="nil"/>
              <w:bottom w:val="single" w:sz="4" w:space="0" w:color="auto"/>
              <w:right w:val="single" w:sz="4" w:space="0" w:color="auto"/>
            </w:tcBorders>
            <w:shd w:val="clear" w:color="000000" w:fill="FFFFFF"/>
          </w:tcPr>
          <w:p>
            <w:pPr>
              <w:spacing w:line="300" w:lineRule="exact"/>
              <w:rPr>
                <w:rFonts w:eastAsia="仿宋_GB2312"/>
                <w:sz w:val="24"/>
              </w:rPr>
            </w:pPr>
          </w:p>
        </w:tc>
      </w:tr>
      <w:tr>
        <w:trPr>
          <w:trHeight w:val="440"/>
        </w:trPr>
        <w:tc>
          <w:tcPr>
            <w:tcW w:w="362" w:type="pct"/>
            <w:tcBorders>
              <w:top w:val="single" w:sz="4" w:space="0" w:color="auto"/>
              <w:left w:val="single" w:sz="4" w:space="0" w:color="auto"/>
              <w:bottom w:val="single" w:sz="4" w:space="0" w:color="auto"/>
              <w:right w:val="single" w:sz="4" w:space="0" w:color="auto"/>
            </w:tcBorders>
            <w:shd w:val="clear" w:color="000000" w:fill="FFFFFF"/>
            <w:vAlign w:val="center"/>
          </w:tcPr>
          <w:p>
            <w:pPr>
              <w:widowControl/>
              <w:spacing w:line="300" w:lineRule="exact"/>
              <w:jc w:val="center"/>
              <w:rPr>
                <w:rFonts w:eastAsia="仿宋_GB2312"/>
                <w:color w:val="000000"/>
                <w:sz w:val="24"/>
              </w:rPr>
            </w:pPr>
            <w:r>
              <w:rPr>
                <w:rFonts w:eastAsia="仿宋_GB2312"/>
                <w:color w:val="000000"/>
                <w:sz w:val="24"/>
              </w:rPr>
              <w:t>43</w:t>
            </w:r>
          </w:p>
        </w:tc>
        <w:tc>
          <w:tcPr>
            <w:tcW w:w="725" w:type="pct"/>
            <w:tcBorders>
              <w:top w:val="single" w:sz="4" w:space="0" w:color="auto"/>
              <w:left w:val="single" w:sz="4" w:space="0" w:color="auto"/>
              <w:bottom w:val="single" w:sz="4" w:space="0" w:color="auto"/>
              <w:right w:val="single" w:sz="4" w:space="0" w:color="auto"/>
            </w:tcBorders>
            <w:shd w:val="clear" w:color="000000" w:fill="FFFFFF"/>
            <w:vAlign w:val="center"/>
          </w:tcPr>
          <w:p>
            <w:pPr>
              <w:widowControl/>
              <w:spacing w:line="300" w:lineRule="exact"/>
              <w:jc w:val="center"/>
              <w:rPr>
                <w:rFonts w:eastAsia="仿宋_GB2312"/>
                <w:sz w:val="24"/>
              </w:rPr>
            </w:pPr>
            <w:r>
              <w:rPr>
                <w:rFonts w:eastAsia="仿宋_GB2312"/>
                <w:sz w:val="24"/>
              </w:rPr>
              <w:t>达沙替尼</w:t>
            </w:r>
          </w:p>
        </w:tc>
        <w:tc>
          <w:tcPr>
            <w:tcW w:w="580" w:type="pct"/>
            <w:tcBorders>
              <w:top w:val="single" w:sz="4" w:space="0" w:color="auto"/>
              <w:left w:val="nil"/>
              <w:bottom w:val="single" w:sz="4" w:space="0" w:color="auto"/>
              <w:right w:val="single" w:sz="4" w:space="0" w:color="auto"/>
            </w:tcBorders>
            <w:shd w:val="clear" w:color="000000" w:fill="FFFFFF"/>
            <w:vAlign w:val="center"/>
          </w:tcPr>
          <w:p>
            <w:pPr>
              <w:spacing w:line="300" w:lineRule="exact"/>
              <w:jc w:val="center"/>
              <w:rPr>
                <w:rFonts w:eastAsia="仿宋_GB2312"/>
                <w:sz w:val="24"/>
              </w:rPr>
            </w:pPr>
            <w:r>
              <w:rPr>
                <w:rFonts w:eastAsia="仿宋_GB2312"/>
                <w:sz w:val="24"/>
              </w:rPr>
              <w:t>口服常释剂型</w:t>
            </w:r>
          </w:p>
        </w:tc>
        <w:tc>
          <w:tcPr>
            <w:tcW w:w="2609" w:type="pct"/>
            <w:tcBorders>
              <w:top w:val="single" w:sz="4" w:space="0" w:color="auto"/>
              <w:left w:val="nil"/>
              <w:bottom w:val="single" w:sz="4" w:space="0" w:color="auto"/>
              <w:right w:val="single" w:sz="4" w:space="0" w:color="auto"/>
            </w:tcBorders>
            <w:shd w:val="clear" w:color="000000" w:fill="FFFFFF"/>
            <w:vAlign w:val="center"/>
          </w:tcPr>
          <w:p>
            <w:pPr>
              <w:spacing w:line="300" w:lineRule="exact"/>
              <w:rPr>
                <w:rFonts w:eastAsia="仿宋_GB2312"/>
                <w:sz w:val="24"/>
              </w:rPr>
            </w:pPr>
            <w:r>
              <w:rPr>
                <w:rFonts w:eastAsia="仿宋_GB2312"/>
                <w:sz w:val="24"/>
              </w:rPr>
              <w:t>限对伊马替尼耐药或不耐受的慢性髓细胞白血病患者</w:t>
            </w:r>
          </w:p>
        </w:tc>
        <w:tc>
          <w:tcPr>
            <w:tcW w:w="724" w:type="pct"/>
            <w:tcBorders>
              <w:top w:val="single" w:sz="4" w:space="0" w:color="auto"/>
              <w:left w:val="nil"/>
              <w:bottom w:val="single" w:sz="4" w:space="0" w:color="auto"/>
              <w:right w:val="single" w:sz="4" w:space="0" w:color="auto"/>
            </w:tcBorders>
            <w:shd w:val="clear" w:color="000000" w:fill="FFFFFF"/>
          </w:tcPr>
          <w:p>
            <w:pPr>
              <w:spacing w:line="300" w:lineRule="exact"/>
              <w:rPr>
                <w:rFonts w:eastAsia="仿宋_GB2312"/>
                <w:sz w:val="24"/>
              </w:rPr>
            </w:pPr>
          </w:p>
        </w:tc>
      </w:tr>
    </w:tbl>
    <w:p>
      <w:pPr>
        <w:rPr>
          <w:rFonts w:eastAsia="方正仿宋简体"/>
          <w:sz w:val="32"/>
          <w:szCs w:val="32"/>
        </w:rPr>
      </w:pPr>
    </w:p>
    <w:p/>
    <w:p>
      <w:pPr>
        <w:spacing w:line="580" w:lineRule="exact"/>
        <w:jc w:val="center"/>
        <w:rPr>
          <w:rFonts w:eastAsia="仿宋_GB2312"/>
          <w:sz w:val="32"/>
          <w:szCs w:val="32"/>
        </w:rPr>
      </w:pPr>
    </w:p>
    <w:p>
      <w:pPr>
        <w:spacing w:line="400" w:lineRule="exact"/>
        <w:ind w:right="1164"/>
        <w:rPr>
          <w:rFonts w:eastAsia="仿宋_GB2312"/>
          <w:sz w:val="32"/>
          <w:szCs w:val="32"/>
        </w:rPr>
      </w:pPr>
    </w:p>
    <w:p>
      <w:pPr>
        <w:spacing w:line="400" w:lineRule="exact"/>
        <w:ind w:right="1164"/>
        <w:rPr>
          <w:rFonts w:eastAsia="仿宋_GB2312"/>
          <w:sz w:val="32"/>
          <w:szCs w:val="32"/>
        </w:rPr>
      </w:pPr>
    </w:p>
    <w:p>
      <w:pPr>
        <w:spacing w:line="400" w:lineRule="exact"/>
        <w:ind w:right="1164"/>
        <w:rPr>
          <w:rFonts w:eastAsia="仿宋_GB2312"/>
          <w:sz w:val="32"/>
          <w:szCs w:val="32"/>
        </w:rPr>
      </w:pPr>
    </w:p>
    <w:p>
      <w:pPr>
        <w:spacing w:line="400" w:lineRule="exact"/>
        <w:ind w:right="1164"/>
        <w:rPr>
          <w:rFonts w:eastAsia="仿宋_GB2312"/>
          <w:sz w:val="32"/>
          <w:szCs w:val="32"/>
        </w:rPr>
      </w:pPr>
    </w:p>
    <w:p>
      <w:pPr>
        <w:spacing w:line="400" w:lineRule="exact"/>
        <w:ind w:right="1164"/>
        <w:rPr>
          <w:rFonts w:eastAsia="仿宋_GB2312"/>
          <w:sz w:val="32"/>
          <w:szCs w:val="32"/>
        </w:rPr>
      </w:pPr>
    </w:p>
    <w:p>
      <w:pPr>
        <w:spacing w:line="400" w:lineRule="exact"/>
        <w:ind w:right="1164"/>
        <w:rPr>
          <w:rFonts w:eastAsia="仿宋_GB2312"/>
          <w:sz w:val="32"/>
          <w:szCs w:val="32"/>
        </w:rPr>
      </w:pPr>
    </w:p>
    <w:p>
      <w:pPr>
        <w:spacing w:line="400" w:lineRule="exact"/>
        <w:ind w:right="1164"/>
        <w:rPr>
          <w:rFonts w:eastAsia="仿宋_GB2312"/>
          <w:sz w:val="32"/>
          <w:szCs w:val="32"/>
        </w:rPr>
      </w:pPr>
    </w:p>
    <w:p>
      <w:pPr>
        <w:spacing w:line="400" w:lineRule="exact"/>
        <w:ind w:right="1164"/>
        <w:rPr>
          <w:rFonts w:eastAsia="仿宋_GB2312"/>
          <w:sz w:val="32"/>
          <w:szCs w:val="32"/>
        </w:rPr>
      </w:pPr>
    </w:p>
    <w:p>
      <w:pPr>
        <w:spacing w:line="400" w:lineRule="exact"/>
        <w:ind w:right="1164"/>
        <w:rPr>
          <w:rFonts w:eastAsia="仿宋_GB2312"/>
          <w:sz w:val="32"/>
          <w:szCs w:val="32"/>
        </w:rPr>
      </w:pPr>
    </w:p>
    <w:p>
      <w:pPr>
        <w:spacing w:line="400" w:lineRule="exact"/>
        <w:ind w:right="1164"/>
        <w:rPr>
          <w:rFonts w:eastAsia="仿宋_GB2312"/>
          <w:sz w:val="32"/>
          <w:szCs w:val="32"/>
        </w:rPr>
      </w:pPr>
    </w:p>
    <w:p>
      <w:pPr>
        <w:spacing w:line="400" w:lineRule="exact"/>
        <w:ind w:right="1164"/>
        <w:rPr>
          <w:rFonts w:eastAsia="仿宋_GB2312"/>
          <w:sz w:val="32"/>
          <w:szCs w:val="32"/>
        </w:rPr>
      </w:pPr>
    </w:p>
    <w:p>
      <w:pPr>
        <w:spacing w:line="400" w:lineRule="exact"/>
        <w:ind w:right="1164"/>
        <w:rPr>
          <w:rFonts w:eastAsia="仿宋_GB2312"/>
          <w:sz w:val="32"/>
          <w:szCs w:val="32"/>
        </w:rPr>
      </w:pPr>
    </w:p>
    <w:p>
      <w:pPr>
        <w:spacing w:line="400" w:lineRule="exact"/>
        <w:ind w:right="1164"/>
        <w:rPr>
          <w:rFonts w:eastAsia="仿宋_GB2312"/>
          <w:sz w:val="32"/>
          <w:szCs w:val="32"/>
        </w:rPr>
      </w:pPr>
    </w:p>
    <w:p>
      <w:pPr>
        <w:pBdr>
          <w:top w:val="single" w:sz="4" w:space="1" w:color="auto"/>
          <w:bottom w:val="single" w:sz="4" w:space="1" w:color="auto"/>
        </w:pBdr>
        <w:spacing w:line="560" w:lineRule="exact"/>
        <w:jc w:val="center"/>
        <w:rPr>
          <w:rFonts w:eastAsia="仿宋_GB2312"/>
          <w:sz w:val="28"/>
          <w:szCs w:val="32"/>
        </w:rPr>
      </w:pPr>
      <w:r>
        <w:rPr>
          <w:rFonts w:eastAsia="仿宋_GB2312"/>
          <w:sz w:val="28"/>
          <w:szCs w:val="32"/>
        </w:rPr>
        <w:t>南京市医疗保障局办公室                2020年6月</w:t>
      </w:r>
      <w:r>
        <w:rPr>
          <w:rFonts w:eastAsia="仿宋_GB2312" w:hint="eastAsia"/>
          <w:sz w:val="28"/>
          <w:szCs w:val="32"/>
        </w:rPr>
        <w:t>9</w:t>
      </w:r>
      <w:r>
        <w:rPr>
          <w:rFonts w:eastAsia="仿宋_GB2312"/>
          <w:sz w:val="28"/>
          <w:szCs w:val="32"/>
        </w:rPr>
        <w:t>日印发</w:t>
      </w:r>
    </w:p>
    <w:sectPr>
      <w:footerReference w:type="default" r:id="rId2"/>
      <w:footerReference w:type="even" r:id="rId3"/>
      <w:pgSz w:w="11906" w:h="16838"/>
      <w:pgMar w:top="2098" w:right="1588" w:bottom="1701" w:left="1588" w:header="851" w:footer="1134" w:gutter="0"/>
      <w:pgNumType w:fmt="numberInDash"/>
      <w:docGrid w:type="linesAndChars" w:linePitch="597" w:charSpace="-2048"/>
    </w:sectPr>
  </w:body>
</w:document>
</file>

<file path=word/fontTable.xml><?xml version="1.0" encoding="utf-8"?>
<w:fonts xmlns:w="http://schemas.openxmlformats.org/wordprocessingml/2006/main" xmlns:r="http://schemas.openxmlformats.org/officeDocument/2006/relationships">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方正仿宋简体">
    <w:altName w:val="Arial Unicode MS"/>
    <w:panose1 w:val="02010601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variable"/>
    <w:sig w:usb0="00000001" w:usb1="080E0000" w:usb2="00000010" w:usb3="00000000" w:csb0="00040000" w:csb1="00000000"/>
  </w:font>
  <w:font w:name="黑体">
    <w:altName w:val="SimHei"/>
    <w:panose1 w:val="02010609060101010101"/>
    <w:charset w:val="86"/>
    <w:family w:val="modern"/>
    <w:pitch w:val="variable"/>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_GB2312">
    <w:altName w:val="楷体"/>
    <w:panose1 w:val="02010609030101010101"/>
    <w:charset w:val="86"/>
    <w:family w:val="modern"/>
    <w:pitch w:val="variable"/>
    <w:sig w:usb0="00000001" w:usb1="080E0000" w:usb2="00000010" w:usb3="00000000" w:csb0="00040000" w:csb1="00000000"/>
  </w:font>
  <w:font w:name="Luxi Sans">
    <w:altName w:val="DejaVu Sans"/>
    <w:panose1 w:val="00000000000000000000"/>
    <w:charset w:val="00"/>
    <w:family w:val="auto"/>
    <w:pitch w:val="variable"/>
    <w:sig w:usb0="00000000" w:usb1="00000000" w:usb2="00000000" w:usb3="00000000" w:csb0="00000000"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5"/>
      <w:tabs>
        <w:tab w:val="center" w:pos="4153"/>
        <w:tab w:val="right" w:pos="8306"/>
      </w:tabs>
      <w:wordWrap w:val="0"/>
      <w:jc w:val="right"/>
      <w:rPr>
        <w:rFonts w:eastAsia="宋体"/>
      </w:rPr>
    </w:pPr>
    <w:sdt>
      <w:sdtPr>
        <w:id w:val="350183954"/>
        <w:docPartObj>
          <w:docPartGallery w:val="Page Numbers (Bottom of Page)"/>
          <w:docPartUnique/>
        </w:docPartObj>
      </w:sdtPr>
      <w:sdtEndPr>
        <w:rPr>
          <w:rFonts w:eastAsia="宋体"/>
        </w:rPr>
      </w:sdtEndPr>
      <w:sdtContent>
        <w:r>
          <w:rPr>
            <w:rFonts w:eastAsia="宋体"/>
            <w:sz w:val="28"/>
            <w:szCs w:val="28"/>
          </w:rPr>
          <w:fldChar w:fldCharType="begin"/>
        </w:r>
        <w:r>
          <w:rPr>
            <w:rFonts w:eastAsia="宋体"/>
            <w:sz w:val="28"/>
            <w:szCs w:val="28"/>
          </w:rPr>
          <w:instrText xml:space="preserve"> PAGE   \* MERGEFORMAT </w:instrText>
        </w:r>
        <w:r>
          <w:rPr>
            <w:rFonts w:eastAsia="宋体"/>
            <w:sz w:val="28"/>
            <w:szCs w:val="28"/>
          </w:rPr>
          <w:fldChar w:fldCharType="separate"/>
        </w:r>
        <w:r>
          <w:rPr>
            <w:rFonts w:eastAsia="宋体"/>
            <w:sz w:val="28"/>
            <w:szCs w:val="28"/>
            <w:lang w:val="zh-CN"/>
          </w:rPr>
          <w:t>-</w:t>
        </w:r>
        <w:r>
          <w:rPr>
            <w:rFonts w:eastAsia="宋体"/>
            <w:sz w:val="28"/>
            <w:szCs w:val="28"/>
          </w:rPr>
          <w:t xml:space="preserve"> 1 -</w:t>
        </w:r>
        <w:r>
          <w:rPr>
            <w:rFonts w:eastAsia="宋体"/>
            <w:sz w:val="28"/>
            <w:szCs w:val="28"/>
          </w:rPr>
          <w:fldChar w:fldCharType="end"/>
        </w:r>
      </w:sdtContent>
    </w:sdt>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5"/>
      <w:tabs>
        <w:tab w:val="center" w:pos="4153"/>
        <w:tab w:val="right" w:pos="8306"/>
      </w:tabs>
      <w:ind w:firstLineChars="50" w:firstLine="90"/>
    </w:pPr>
    <w:sdt>
      <w:sdtPr>
        <w:id w:val="1025730667"/>
        <w:docPartObj>
          <w:docPartGallery w:val="Page Numbers (Bottom of Page)"/>
          <w:docPartUnique/>
        </w:docPartObj>
      </w:sdtPr>
      <w:sdtEndPr>
        <w:rPr>
          <w:rFonts w:eastAsia="宋体"/>
        </w:rPr>
      </w:sdtEndPr>
      <w:sdtContent>
        <w:r>
          <w:rPr>
            <w:rFonts w:eastAsia="宋体"/>
            <w:sz w:val="28"/>
            <w:szCs w:val="28"/>
          </w:rPr>
          <w:fldChar w:fldCharType="begin"/>
        </w:r>
        <w:r>
          <w:rPr>
            <w:rFonts w:eastAsia="宋体"/>
            <w:sz w:val="28"/>
            <w:szCs w:val="28"/>
          </w:rPr>
          <w:instrText xml:space="preserve"> PAGE   \* MERGEFORMAT </w:instrText>
        </w:r>
        <w:r>
          <w:rPr>
            <w:rFonts w:eastAsia="宋体"/>
            <w:sz w:val="28"/>
            <w:szCs w:val="28"/>
          </w:rPr>
          <w:fldChar w:fldCharType="separate"/>
        </w:r>
        <w:r>
          <w:rPr>
            <w:rFonts w:eastAsia="宋体"/>
            <w:sz w:val="28"/>
            <w:szCs w:val="28"/>
            <w:lang w:val="zh-CN"/>
          </w:rPr>
          <w:t>-</w:t>
        </w:r>
        <w:r>
          <w:rPr>
            <w:rFonts w:eastAsia="宋体"/>
            <w:sz w:val="28"/>
            <w:szCs w:val="28"/>
          </w:rPr>
          <w:t xml:space="preserve"> 2 -</w:t>
        </w:r>
        <w:r>
          <w:rPr>
            <w:rFonts w:eastAsia="宋体"/>
            <w:sz w:val="28"/>
            <w:szCs w:val="28"/>
          </w:rPr>
          <w:fldChar w:fldCharType="end"/>
        </w:r>
      </w:sdtContent>
    </w:sdt>
  </w:p>
</w:ft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90"/>
  <w:bordersDoNotSurroundHeader/>
  <w:bordersDoNotSurroundFooter/>
  <w:defaultTabStop w:val="420"/>
  <w:evenAndOddHeaders/>
  <w:drawingGridHorizontalSpacing w:val="100"/>
  <w:drawingGridVerticalSpacing w:val="597"/>
  <w:displayHorizontalDrawingGridEvery w:val="0"/>
  <w:displayVerticalDrawingGridEvery w:val="1"/>
  <w:characterSpacingControl w:val="compressPunctuation"/>
  <w:compat>
    <w:spaceForUL/>
    <w:balanceSingleByteDoubleByteWidth/>
    <w:ulTrailSpace/>
    <w:doNotExpandShiftReturn/>
    <w:adjustLineHeightInTable/>
    <w:compatSetting w:name="compatibilityMode" w:uri="http://schemas.microsoft.com/office/word" w:val="12"/>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Times New Roman" w:eastAsia="宋体" w:cs="Times New Roman" w:hAnsi="Times New Roman"/>
      <w:kern w:val="2"/>
      <w:sz w:val="21"/>
      <w:szCs w:val="24"/>
      <w:lang w:val="en-US" w:eastAsia="zh-CN" w:bidi="ar-SA"/>
    </w:rPr>
  </w:style>
  <w:style w:type="paragraph" w:styleId="1">
    <w:name w:val="heading 1"/>
    <w:basedOn w:val="0"/>
    <w:next w:val="0"/>
    <w:pPr>
      <w:keepNext/>
      <w:keepLines/>
      <w:spacing w:before="340" w:after="330" w:line="578" w:lineRule="auto"/>
      <w:outlineLvl w:val="0"/>
    </w:pPr>
    <w:rPr>
      <w:b/>
      <w:bCs/>
      <w:kern w:val="44"/>
      <w:sz w:val="44"/>
    </w:rPr>
  </w:style>
  <w:style w:type="paragraph" w:styleId="2">
    <w:name w:val="heading 2"/>
    <w:basedOn w:val="0"/>
    <w:next w:val="0"/>
    <w:pPr>
      <w:keepNext/>
      <w:keepLines/>
      <w:spacing w:before="260" w:after="260" w:line="415" w:lineRule="auto"/>
      <w:outlineLvl w:val="1"/>
    </w:pPr>
    <w:rPr>
      <w:rFonts w:ascii="Luxi Sans" w:eastAsia="黑体" w:hAnsi="Luxi Sans"/>
      <w:b/>
      <w:sz w:val="32"/>
    </w:rPr>
  </w:style>
  <w:style w:type="paragraph" w:styleId="3">
    <w:name w:val="heading 3"/>
    <w:basedOn w:val="0"/>
    <w:next w:val="0"/>
    <w:pPr>
      <w:keepNext/>
      <w:keepLines/>
      <w:spacing w:before="260" w:after="260" w:line="415" w:lineRule="auto"/>
      <w:outlineLvl w:val="2"/>
    </w:pPr>
    <w:rPr>
      <w:b/>
      <w:sz w:val="32"/>
    </w:rPr>
  </w:style>
  <w:style w:type="character" w:default="1" w:styleId="10">
    <w:name w:val="Default Paragraph Font"/>
  </w:style>
  <w:style w:type="paragraph" w:styleId="15">
    <w:name w:val="footer"/>
    <w:basedOn w:val="0"/>
    <w:pPr>
      <w:tabs>
        <w:tab w:val="center" w:pos="4153"/>
        <w:tab w:val="right" w:pos="8306"/>
      </w:tabs>
      <w:snapToGrid w:val="0"/>
      <w:jc w:val="left"/>
    </w:pPr>
    <w:rPr>
      <w:sz w:val="18"/>
      <w:szCs w:val="18"/>
    </w:rPr>
  </w:style>
  <w:style w:type="paragraph" w:styleId="16">
    <w:name w:val="Balloon Text"/>
    <w:basedOn w:val="0"/>
    <w:rPr>
      <w:sz w:val="18"/>
      <w:szCs w:val="18"/>
    </w:rPr>
  </w:style>
  <w:style w:type="paragraph" w:styleId="17">
    <w:name w:val="header"/>
    <w:basedOn w:val="0"/>
    <w:pPr>
      <w:pBdr>
        <w:bottom w:val="single" w:sz="6" w:space="1" w:color="auto"/>
      </w:pBdr>
      <w:tabs>
        <w:tab w:val="center" w:pos="4153"/>
        <w:tab w:val="right" w:pos="8306"/>
      </w:tabs>
      <w:snapToGrid w:val="0"/>
      <w:jc w:val="center"/>
    </w:pPr>
    <w:rPr>
      <w:sz w:val="18"/>
      <w:szCs w:val="18"/>
    </w:rPr>
  </w:style>
  <w:style w:type="paragraph" w:styleId="18">
    <w:name w:val="Normal (Web)"/>
    <w:basedOn w:val="0"/>
    <w:pPr>
      <w:widowControl/>
      <w:spacing w:before="100" w:beforeAutospacing="1" w:after="100" w:afterAutospacing="1"/>
      <w:jc w:val="left"/>
    </w:pPr>
    <w:rPr>
      <w:rFonts w:ascii="宋体" w:cs="宋体"/>
      <w:kern w:val="0"/>
      <w:sz w:val="24"/>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fontTable" Target="fontTable.xml"/></Relationships>
</file>

<file path=docProps/app.xml><?xml version="1.0" encoding="utf-8"?>
<Properties xmlns="http://schemas.openxmlformats.org/officeDocument/2006/extended-properties">
  <Template>Normal.eit</Template>
  <TotalTime>149</TotalTime>
  <Application>Yozo_Office27021597764231179</Application>
  <Pages>9</Pages>
  <Words>4332</Words>
  <Characters>4612</Characters>
  <Lines>451</Lines>
  <Paragraphs>204</Paragraphs>
  <CharactersWithSpaces>4645</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ukon</dc:creator>
  <cp:lastModifiedBy>casic</cp:lastModifiedBy>
  <cp:revision>30</cp:revision>
  <cp:lastPrinted>2020-06-09T02:23:00Z</cp:lastPrinted>
  <dcterms:created xsi:type="dcterms:W3CDTF">2019-10-10T09:30:00Z</dcterms:created>
  <dcterms:modified xsi:type="dcterms:W3CDTF">2025-10-16T07:49:09Z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2052-11.1.0.9098</vt:lpwstr>
  </property>
</Properties>
</file>